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</w:pPr>
      <w:r>
        <w:rPr>
          <w:rFonts w:hint="eastAsia" w:ascii="黑体" w:hAnsi="黑体" w:eastAsia="黑体"/>
        </w:rPr>
        <w:t>附件</w:t>
      </w:r>
      <w:r>
        <w:rPr>
          <w:rFonts w:hint="eastAsia"/>
        </w:rPr>
        <w:t>1</w:t>
      </w:r>
    </w:p>
    <w:p>
      <w:pPr>
        <w:ind w:firstLine="0" w:firstLineChars="0"/>
        <w:jc w:val="center"/>
        <w:rPr>
          <w:b/>
          <w:bCs/>
        </w:rPr>
      </w:pPr>
      <w:bookmarkStart w:id="0" w:name="_GoBack"/>
      <w:r>
        <w:rPr>
          <w:rFonts w:hint="eastAsia" w:ascii="黑体" w:hAnsi="黑体" w:eastAsia="黑体" w:cs="黑体"/>
          <w:szCs w:val="28"/>
        </w:rPr>
        <w:t>第二期高校思政课教师网络培训</w:t>
      </w:r>
      <w:r>
        <w:rPr>
          <w:rFonts w:hint="eastAsia" w:ascii="黑体" w:hAnsi="黑体" w:eastAsia="黑体" w:cs="黑体"/>
          <w:szCs w:val="28"/>
          <w:lang w:val="en-US" w:eastAsia="zh-CN"/>
        </w:rPr>
        <w:t>必修</w:t>
      </w:r>
      <w:r>
        <w:rPr>
          <w:rFonts w:hint="eastAsia" w:ascii="黑体" w:hAnsi="黑体" w:eastAsia="黑体" w:cs="黑体"/>
          <w:szCs w:val="28"/>
        </w:rPr>
        <w:t>课程列表</w:t>
      </w:r>
    </w:p>
    <w:bookmarkEnd w:id="0"/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4005"/>
        <w:gridCol w:w="975"/>
        <w:gridCol w:w="2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tblHeader/>
        </w:trPr>
        <w:tc>
          <w:tcPr>
            <w:tcW w:w="87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cs="仿宋"/>
                <w:b/>
                <w:bCs/>
                <w:sz w:val="24"/>
                <w:szCs w:val="24"/>
              </w:rPr>
              <w:t>课程</w:t>
            </w:r>
          </w:p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b/>
                <w:bCs/>
                <w:sz w:val="24"/>
                <w:szCs w:val="24"/>
              </w:rPr>
              <w:t>模块</w:t>
            </w:r>
          </w:p>
        </w:tc>
        <w:tc>
          <w:tcPr>
            <w:tcW w:w="400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cs="仿宋"/>
                <w:b/>
                <w:bCs/>
                <w:sz w:val="24"/>
                <w:szCs w:val="24"/>
              </w:rPr>
              <w:t>课程名称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b/>
                <w:bCs/>
                <w:sz w:val="24"/>
                <w:szCs w:val="24"/>
              </w:rPr>
              <w:t>主讲人</w:t>
            </w:r>
          </w:p>
        </w:tc>
        <w:tc>
          <w:tcPr>
            <w:tcW w:w="2663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" w:hAnsi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cs="仿宋"/>
                <w:b/>
                <w:bCs/>
                <w:sz w:val="24"/>
                <w:szCs w:val="24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sz w:val="24"/>
                <w:szCs w:val="24"/>
              </w:rPr>
              <w:t>政治</w:t>
            </w:r>
          </w:p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sz w:val="24"/>
                <w:szCs w:val="24"/>
              </w:rPr>
              <w:t>理论</w:t>
            </w:r>
          </w:p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sz w:val="24"/>
                <w:szCs w:val="24"/>
              </w:rPr>
              <w:t>学习</w:t>
            </w: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学校思想政治理论课教师座谈会精神解读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王炳林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教育部高等学校社会科学发展研究中心主任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习近平新时代中国特色社会主义思想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韩庆祥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中共中央党校校务委员会委员，副教育长兼科研部主任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学习习近平系列讲话精神 不断增强“四个自信”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sz w:val="24"/>
                <w:szCs w:val="24"/>
              </w:rPr>
              <w:t>刘先春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州大学马克思主义学院教授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贯彻落实全国教育大会精神的辅导报告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孙  尧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教育部党组成员、副部长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学习贯彻全国教育大会精神，推动教师教育创新发展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王定华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教育部教师工作司司长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学习习近平总书记在全国高校思想政治工作会议上讲话精神——高校思想政治工作理论新境界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顾海良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全国人大教科文卫委员会委员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sz w:val="24"/>
                <w:szCs w:val="24"/>
              </w:rPr>
              <w:t>师德</w:t>
            </w:r>
          </w:p>
          <w:p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师风建设</w:t>
            </w: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大学教师的职业责任与道德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肖群忠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中国人民大学哲学院教授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努力做一名优秀的思政教师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王能东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武汉理工大学马克思主义学院党委书记、教授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大学教师的师德情怀与师德养成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朱月龙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河北师范大学教授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陈先达：“行走的马列字典”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专题片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职业能力提升</w:t>
            </w: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学习习近平总书记系列讲话精神，全面推动思想政治教育创新发展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佘双好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武汉大学马克思主义学院院长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坚持和发展中国特色社会主义道路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秦  刚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中共中央党校科学社会主义教研部主任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新时代我国社会的主要矛盾及其现实意义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刘少杰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中国人民大学社会学理论与方法研究中心主任、教授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强化三个意识 提升思想政治理论课的获得感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冯  培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首都经济贸易大学党委书记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如何开展思想政治理论课研究——学术论文的撰写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刘建军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中国人民大学马克思主义学院二级教授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sz w:val="24"/>
                <w:szCs w:val="24"/>
              </w:rPr>
              <w:t>教学</w:t>
            </w:r>
          </w:p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sz w:val="24"/>
                <w:szCs w:val="24"/>
              </w:rPr>
              <w:t>能力</w:t>
            </w:r>
          </w:p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sz w:val="24"/>
                <w:szCs w:val="24"/>
              </w:rPr>
              <w:t>提高</w:t>
            </w: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把握思政课教师教学能力的结构与核心</w:t>
            </w:r>
          </w:p>
        </w:tc>
        <w:tc>
          <w:tcPr>
            <w:tcW w:w="975" w:type="dxa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王能东</w:t>
            </w:r>
          </w:p>
        </w:tc>
        <w:tc>
          <w:tcPr>
            <w:tcW w:w="26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武汉理工大学马克思主义学院党委书记、教授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提升思政课教师组织运用学科专业知识服务教学目标的能力</w:t>
            </w:r>
          </w:p>
        </w:tc>
        <w:tc>
          <w:tcPr>
            <w:tcW w:w="975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26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有效增强教学影响力：思政课教师最基本的教学能力</w:t>
            </w:r>
          </w:p>
        </w:tc>
        <w:tc>
          <w:tcPr>
            <w:tcW w:w="975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26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基于移动互联技术的思政智慧课堂教学模式改革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沈  震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北京工业大学马克思主义学院副教授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高校思政课“专题化教学、项目化实践、多元化考试”综合改革探索与实践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吴明永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长江师范学院政治与历史学院（马克思主义学院）院长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sz w:val="24"/>
                <w:szCs w:val="24"/>
              </w:rPr>
              <w:t>经典</w:t>
            </w:r>
          </w:p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sz w:val="24"/>
                <w:szCs w:val="24"/>
              </w:rPr>
              <w:t>著作</w:t>
            </w:r>
          </w:p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sz w:val="24"/>
                <w:szCs w:val="24"/>
              </w:rPr>
              <w:t>导读</w:t>
            </w: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《共产党宣言》导读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李海青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中共中央党校马克思主义中国化教研室副主任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马克思《关于费尔巴哈的提纲》解读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贾英健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中共山东省委党校哲学部副主任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《谈谈辩证法问题》导读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何建华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中共中央党校哲学教研部马克思主义哲学史教研室副主任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9" w:type="dxa"/>
            <w:vMerge w:val="continue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《资本论》导读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szCs w:val="24"/>
              </w:rPr>
              <w:t>王天义</w:t>
            </w: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中共中央党校经济学部教授、博士生导师</w:t>
            </w:r>
          </w:p>
        </w:tc>
      </w:tr>
    </w:tbl>
    <w:p>
      <w:pPr>
        <w:spacing w:line="360" w:lineRule="exact"/>
        <w:ind w:left="-566" w:leftChars="-202" w:hanging="2"/>
        <w:jc w:val="left"/>
        <w:rPr>
          <w:rFonts w:hint="default" w:ascii="Times New Roman" w:hAnsi="Times New Roman" w:eastAsia="楷体" w:cs="Times New Roman"/>
          <w:sz w:val="24"/>
        </w:rPr>
      </w:pPr>
      <w:r>
        <w:rPr>
          <w:rFonts w:hint="eastAsia" w:ascii="楷体" w:hAnsi="楷体" w:eastAsia="楷体"/>
          <w:sz w:val="24"/>
        </w:rPr>
        <w:t>说明：</w:t>
      </w:r>
      <w:r>
        <w:rPr>
          <w:rFonts w:hint="default" w:ascii="Times New Roman" w:hAnsi="Times New Roman" w:eastAsia="楷体" w:cs="Times New Roman"/>
          <w:sz w:val="24"/>
        </w:rPr>
        <w:t>1.个别课程或稍有调整，请以平台最终发布课程为准；</w:t>
      </w:r>
    </w:p>
    <w:p>
      <w:pPr>
        <w:spacing w:line="360" w:lineRule="exact"/>
        <w:ind w:left="-566" w:leftChars="-202" w:firstLine="1200" w:firstLineChars="500"/>
        <w:jc w:val="left"/>
        <w:rPr>
          <w:rFonts w:hint="default" w:ascii="Times New Roman" w:hAnsi="Times New Roman" w:eastAsia="楷体" w:cs="Times New Roman"/>
          <w:sz w:val="24"/>
        </w:rPr>
      </w:pPr>
      <w:r>
        <w:rPr>
          <w:rFonts w:hint="default" w:ascii="Times New Roman" w:hAnsi="Times New Roman" w:eastAsia="楷体" w:cs="Times New Roman"/>
          <w:sz w:val="24"/>
        </w:rPr>
        <w:t>2.课程主讲人职务为课程录制时的职务。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D776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ind w:firstLine="482" w:firstLineChars="200"/>
      <w:jc w:val="both"/>
    </w:pPr>
    <w:rPr>
      <w:rFonts w:ascii="Times New Roman" w:hAnsi="Times New Roman" w:eastAsia="仿宋" w:cs="Times New Roman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2019-04-02T01:30:41Z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