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附件</w:t>
      </w:r>
      <w:r>
        <w:rPr>
          <w:rFonts w:ascii="黑体" w:hAnsi="黑体" w:eastAsia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1</w:t>
      </w:r>
    </w:p>
    <w:p>
      <w:pPr>
        <w:jc w:val="center"/>
        <w:rPr>
          <w:rFonts w:hint="eastAsia" w:ascii="黑体" w:hAnsi="黑体" w:eastAsia="黑体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高校青年教师专题网络培训课程列表</w:t>
      </w:r>
    </w:p>
    <w:bookmarkEnd w:id="0"/>
    <w:tbl>
      <w:tblPr>
        <w:tblStyle w:val="2"/>
        <w:tblW w:w="8805" w:type="dxa"/>
        <w:jc w:val="center"/>
        <w:tblInd w:w="-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5"/>
        <w:gridCol w:w="968"/>
        <w:gridCol w:w="3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tblHeader/>
          <w:jc w:val="center"/>
        </w:trPr>
        <w:tc>
          <w:tcPr>
            <w:tcW w:w="4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课程名称</w:t>
            </w:r>
          </w:p>
        </w:tc>
        <w:tc>
          <w:tcPr>
            <w:tcW w:w="96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主讲人</w:t>
            </w:r>
          </w:p>
        </w:tc>
        <w:tc>
          <w:tcPr>
            <w:tcW w:w="356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职务职称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8805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教育理念与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师德师风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模块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：全国教育大会、教育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eastAsia="zh-CN" w:bidi="ar"/>
              </w:rPr>
              <w:t>发展和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立德树人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eastAsia="zh-CN" w:bidi="ar"/>
              </w:rPr>
              <w:t>等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内涵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eastAsia="zh-CN" w:bidi="ar"/>
              </w:rPr>
              <w:t>解读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学习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4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人才培养为本 本科教育是根——学习贯彻全国教育大会精神体会</w:t>
            </w:r>
          </w:p>
        </w:tc>
        <w:tc>
          <w:tcPr>
            <w:tcW w:w="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吴  岩</w:t>
            </w:r>
          </w:p>
        </w:tc>
        <w:tc>
          <w:tcPr>
            <w:tcW w:w="3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教育部高等教育司司长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4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加强教师队伍建设 实现高校内涵发展</w:t>
            </w:r>
          </w:p>
        </w:tc>
        <w:tc>
          <w:tcPr>
            <w:tcW w:w="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钟秉林</w:t>
            </w:r>
          </w:p>
        </w:tc>
        <w:tc>
          <w:tcPr>
            <w:tcW w:w="3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中国教育学会会长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5" w:hRule="exact"/>
          <w:jc w:val="center"/>
        </w:trPr>
        <w:tc>
          <w:tcPr>
            <w:tcW w:w="4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加快教育现代化、建设教育强国，办好人民满意的教育——习近平总书记关于教育的重要论述学习体会</w:t>
            </w:r>
          </w:p>
        </w:tc>
        <w:tc>
          <w:tcPr>
            <w:tcW w:w="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陈子季</w:t>
            </w:r>
          </w:p>
        </w:tc>
        <w:tc>
          <w:tcPr>
            <w:tcW w:w="3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教育部教育发展研究中心主任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4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扎根中国大地办教育</w:t>
            </w:r>
          </w:p>
        </w:tc>
        <w:tc>
          <w:tcPr>
            <w:tcW w:w="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郭振有</w:t>
            </w:r>
          </w:p>
        </w:tc>
        <w:tc>
          <w:tcPr>
            <w:tcW w:w="3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教育部原副总督学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4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立足新时代，努力培养德智体美劳全面发展的社会主义建设者和接班人</w:t>
            </w:r>
          </w:p>
        </w:tc>
        <w:tc>
          <w:tcPr>
            <w:tcW w:w="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曾天山</w:t>
            </w:r>
          </w:p>
        </w:tc>
        <w:tc>
          <w:tcPr>
            <w:tcW w:w="3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中国教育科学研究院副院长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4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新时代师德师风建设的新使命</w:t>
            </w:r>
          </w:p>
        </w:tc>
        <w:tc>
          <w:tcPr>
            <w:tcW w:w="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高书国</w:t>
            </w:r>
          </w:p>
        </w:tc>
        <w:tc>
          <w:tcPr>
            <w:tcW w:w="3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中国教育学会副秘书长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0" w:hRule="exact"/>
          <w:jc w:val="center"/>
        </w:trPr>
        <w:tc>
          <w:tcPr>
            <w:tcW w:w="4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把立德树人融入教育教学全过程</w:t>
            </w:r>
          </w:p>
        </w:tc>
        <w:tc>
          <w:tcPr>
            <w:tcW w:w="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高  东 赵  旻 缪劲翔 张  健</w:t>
            </w:r>
          </w:p>
        </w:tc>
        <w:tc>
          <w:tcPr>
            <w:tcW w:w="3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高东，北京财贸职业学院党委书记；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赵旻，中央音乐学院党委书记；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缪劲翔，首都师范大学党委副书记；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张健，北京电影学院党委副书记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8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798"/>
              </w:tabs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教学技能模块：教学艺术、教学方法、沟通技巧等学习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4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信息技术与教学融合的系统化研究：理论探索、技术构建与组织变革</w:t>
            </w:r>
          </w:p>
        </w:tc>
        <w:tc>
          <w:tcPr>
            <w:tcW w:w="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韩锡斌</w:t>
            </w:r>
          </w:p>
        </w:tc>
        <w:tc>
          <w:tcPr>
            <w:tcW w:w="3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清华大学教育研究院副院长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4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学习方式与有效教学</w:t>
            </w:r>
          </w:p>
        </w:tc>
        <w:tc>
          <w:tcPr>
            <w:tcW w:w="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姚梅林</w:t>
            </w:r>
          </w:p>
        </w:tc>
        <w:tc>
          <w:tcPr>
            <w:tcW w:w="3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北京师范大学心理学院教授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4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高校青年教师沟通巧技能</w:t>
            </w:r>
          </w:p>
        </w:tc>
        <w:tc>
          <w:tcPr>
            <w:tcW w:w="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刘平青</w:t>
            </w:r>
          </w:p>
        </w:tc>
        <w:tc>
          <w:tcPr>
            <w:tcW w:w="3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北京理工大学管理与经济学院副院长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4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以学生为中心的课程教学设计</w:t>
            </w:r>
          </w:p>
        </w:tc>
        <w:tc>
          <w:tcPr>
            <w:tcW w:w="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郭江峰</w:t>
            </w:r>
          </w:p>
        </w:tc>
        <w:tc>
          <w:tcPr>
            <w:tcW w:w="3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浙江理工大学教师教学发展中心主任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4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我们该有什么样的教学评价</w:t>
            </w:r>
          </w:p>
        </w:tc>
        <w:tc>
          <w:tcPr>
            <w:tcW w:w="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李丹青</w:t>
            </w:r>
          </w:p>
        </w:tc>
        <w:tc>
          <w:tcPr>
            <w:tcW w:w="3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中国计量大学标准化学院院长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4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现代教学艺术与创新</w:t>
            </w:r>
          </w:p>
        </w:tc>
        <w:tc>
          <w:tcPr>
            <w:tcW w:w="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赵精兵</w:t>
            </w:r>
          </w:p>
        </w:tc>
        <w:tc>
          <w:tcPr>
            <w:tcW w:w="3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西安文理学院教授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880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教学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•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教师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•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课堂模块：大学有效教学的系统学习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4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理解大学教学及其复杂性</w:t>
            </w:r>
          </w:p>
        </w:tc>
        <w:tc>
          <w:tcPr>
            <w:tcW w:w="968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陈晓端</w:t>
            </w:r>
          </w:p>
        </w:tc>
        <w:tc>
          <w:tcPr>
            <w:tcW w:w="3562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陕西师范大学教育学院课程与教学系教授、博士生导师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4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大课堂教学规范与创新</w:t>
            </w:r>
          </w:p>
        </w:tc>
        <w:tc>
          <w:tcPr>
            <w:tcW w:w="96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56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4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大学课堂教学的有效设计</w:t>
            </w:r>
          </w:p>
        </w:tc>
        <w:tc>
          <w:tcPr>
            <w:tcW w:w="96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56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4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大学教学模式选择与运用</w:t>
            </w:r>
          </w:p>
        </w:tc>
        <w:tc>
          <w:tcPr>
            <w:tcW w:w="96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56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4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大学有效教学的行动样态</w:t>
            </w:r>
          </w:p>
        </w:tc>
        <w:tc>
          <w:tcPr>
            <w:tcW w:w="96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56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4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大学教师的有效教学行为</w:t>
            </w:r>
          </w:p>
        </w:tc>
        <w:tc>
          <w:tcPr>
            <w:tcW w:w="96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56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4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大学教师的有效教学反思</w:t>
            </w:r>
          </w:p>
        </w:tc>
        <w:tc>
          <w:tcPr>
            <w:tcW w:w="96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56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4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大学有效教师的基本特征</w:t>
            </w:r>
          </w:p>
        </w:tc>
        <w:tc>
          <w:tcPr>
            <w:tcW w:w="96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56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4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大学教学方法的多样运用</w:t>
            </w:r>
          </w:p>
        </w:tc>
        <w:tc>
          <w:tcPr>
            <w:tcW w:w="96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56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4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大学课程的有效评价</w:t>
            </w:r>
          </w:p>
        </w:tc>
        <w:tc>
          <w:tcPr>
            <w:tcW w:w="96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56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880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val="en-US" w:eastAsia="zh-CN" w:bidi="ar"/>
              </w:rPr>
              <w:t>信息化与教学模块：信息化技术及其教学应用等学习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4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中国教育信息化2.0解读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任友群</w:t>
            </w:r>
          </w:p>
        </w:tc>
        <w:tc>
          <w:tcPr>
            <w:tcW w:w="3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教育部教育信息化专家组秘书长、华东师范大学教授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4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数字化教育教学资源的开发与应用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任友群</w:t>
            </w:r>
          </w:p>
        </w:tc>
        <w:tc>
          <w:tcPr>
            <w:tcW w:w="3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教育部教育信息化专家组秘书长、华东师范大学教授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4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MOOC的挑战与大学的未来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李志民</w:t>
            </w:r>
          </w:p>
        </w:tc>
        <w:tc>
          <w:tcPr>
            <w:tcW w:w="3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教育部科技发展中心主任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4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人工智能时代的教育变革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周建设</w:t>
            </w:r>
          </w:p>
        </w:tc>
        <w:tc>
          <w:tcPr>
            <w:tcW w:w="3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首都师范大学原副校长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4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利用慕课资源实施翻转课堂的实践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于歆杰</w:t>
            </w:r>
          </w:p>
        </w:tc>
        <w:tc>
          <w:tcPr>
            <w:tcW w:w="3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清华大学电机工程与应用电子技术系长聘副教授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8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5083"/>
              </w:tabs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职业规划模块：教师专业发展路径、职业生涯规划策略学习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4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高校教师发展的时代要求与实践探索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施大宁</w:t>
            </w:r>
          </w:p>
        </w:tc>
        <w:tc>
          <w:tcPr>
            <w:tcW w:w="3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南京航空航天大学副校长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4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instrText xml:space="preserve"> HYPERLINK "http://study.enaea.edu.cn/kecheng/detail_277009" \o "http://study.enaea.edu.cn/kecheng/detail_277009" </w:instrTex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教师专业发展的路径与策略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fldChar w:fldCharType="end"/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张斌贤</w:t>
            </w:r>
          </w:p>
        </w:tc>
        <w:tc>
          <w:tcPr>
            <w:tcW w:w="3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北京师范大学教育历史与文化研究院教授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4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教师职业生涯规划的制定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傅树京</w:t>
            </w:r>
          </w:p>
        </w:tc>
        <w:tc>
          <w:tcPr>
            <w:tcW w:w="3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首都师范大学管理学院副院长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4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大学教师职业发展该从哪方面助力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王建民</w:t>
            </w:r>
          </w:p>
        </w:tc>
        <w:tc>
          <w:tcPr>
            <w:tcW w:w="3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北京师范大学战略人才研究中心主任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4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高校青年教师科研巧技能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刘平青</w:t>
            </w:r>
          </w:p>
        </w:tc>
        <w:tc>
          <w:tcPr>
            <w:tcW w:w="3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北京理工大学管理与经济学院副院长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8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综合素质模块：心理健康、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eastAsia="zh-CN" w:bidi="ar"/>
              </w:rPr>
              <w:t>文化素养、法律法规及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职业行为准则等学习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4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压力管理与心理健康促进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樊富珉</w:t>
            </w:r>
          </w:p>
        </w:tc>
        <w:tc>
          <w:tcPr>
            <w:tcW w:w="3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972"/>
              </w:tabs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清华大学社会科学学院心理学系副主任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4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生存焦虑与人生幸福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沈湘平</w:t>
            </w:r>
          </w:p>
        </w:tc>
        <w:tc>
          <w:tcPr>
            <w:tcW w:w="3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北京师范大学哲学学院教授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4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教师的文化素养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李  芒</w:t>
            </w:r>
          </w:p>
        </w:tc>
        <w:tc>
          <w:tcPr>
            <w:tcW w:w="3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北京师范大学教授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4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教师法及相关法律法规解读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石连海</w:t>
            </w:r>
          </w:p>
        </w:tc>
        <w:tc>
          <w:tcPr>
            <w:tcW w:w="3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国家教育行政学院副教授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4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高校教师职业行为准则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姚金菊</w:t>
            </w:r>
          </w:p>
        </w:tc>
        <w:tc>
          <w:tcPr>
            <w:tcW w:w="3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北京外国语大学法学院教授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ascii="楷体" w:hAnsi="楷体" w:eastAsia="楷体" w:cs="楷体"/>
        </w:rPr>
      </w:pPr>
      <w:r>
        <w:rPr>
          <w:rFonts w:hint="eastAsia" w:ascii="楷体" w:hAnsi="楷体" w:eastAsia="楷体" w:cs="楷体"/>
          <w:b/>
          <w:bCs/>
        </w:rPr>
        <w:t>注：</w:t>
      </w:r>
      <w:r>
        <w:rPr>
          <w:rFonts w:hint="eastAsia" w:ascii="楷体" w:hAnsi="楷体" w:eastAsia="楷体" w:cs="楷体"/>
          <w:bCs/>
        </w:rPr>
        <w:t>1.</w:t>
      </w:r>
      <w:r>
        <w:rPr>
          <w:rFonts w:hint="eastAsia" w:ascii="楷体" w:hAnsi="楷体" w:eastAsia="楷体" w:cs="楷体"/>
        </w:rPr>
        <w:t>个别课程或稍有调整，请以平台最终发布课程为准；</w:t>
      </w:r>
    </w:p>
    <w:p>
      <w:pPr>
        <w:rPr>
          <w:rFonts w:hint="eastAsia" w:ascii="楷体" w:hAnsi="楷体" w:eastAsia="楷体" w:cs="楷体"/>
        </w:rPr>
      </w:pPr>
      <w:r>
        <w:rPr>
          <w:rFonts w:ascii="楷体" w:hAnsi="楷体" w:eastAsia="楷体" w:cs="楷体"/>
          <w:szCs w:val="21"/>
        </w:rPr>
        <w:t xml:space="preserve"> </w:t>
      </w:r>
      <w:r>
        <w:rPr>
          <w:rFonts w:ascii="楷体" w:hAnsi="楷体" w:eastAsia="楷体" w:cs="楷体"/>
        </w:rPr>
        <w:t xml:space="preserve">   2.</w:t>
      </w:r>
      <w:r>
        <w:rPr>
          <w:rFonts w:hint="eastAsia" w:ascii="楷体" w:hAnsi="楷体" w:eastAsia="楷体" w:cs="楷体"/>
        </w:rPr>
        <w:t>部分课程主讲人职务为课程录制时的职务。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F26F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/xig一叶编舟</cp:lastModifiedBy>
  <dcterms:modified xsi:type="dcterms:W3CDTF">2019-04-08T01:36:52Z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