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Times New Roman" w:hAnsi="Times New Roman" w:eastAsia="黑体"/>
          <w:color w:val="000000"/>
          <w:sz w:val="32"/>
          <w:szCs w:val="32"/>
          <w:lang w:val="en-US" w:eastAsia="zh-CN"/>
        </w:rPr>
      </w:pPr>
      <w:bookmarkStart w:id="0" w:name="_GoBack"/>
      <w:bookmarkEnd w:id="0"/>
      <w:r>
        <w:rPr>
          <w:rFonts w:hint="eastAsia" w:ascii="Times New Roman" w:hAnsi="Times New Roman" w:eastAsia="黑体"/>
          <w:color w:val="000000"/>
          <w:sz w:val="32"/>
          <w:szCs w:val="32"/>
          <w:lang w:val="en-US" w:eastAsia="zh-CN"/>
        </w:rPr>
        <w:t>附件</w:t>
      </w:r>
    </w:p>
    <w:p>
      <w:pPr>
        <w:spacing w:line="360" w:lineRule="auto"/>
        <w:jc w:val="center"/>
        <w:rPr>
          <w:rFonts w:hint="eastAsia" w:ascii="Times New Roman" w:hAnsi="Times New Roman" w:eastAsia="黑体"/>
          <w:color w:val="000000"/>
          <w:sz w:val="40"/>
          <w:szCs w:val="40"/>
        </w:rPr>
      </w:pPr>
      <w:r>
        <w:rPr>
          <w:rFonts w:hint="eastAsia" w:ascii="Times New Roman" w:hAnsi="Times New Roman" w:eastAsia="黑体"/>
          <w:color w:val="000000"/>
          <w:sz w:val="36"/>
          <w:szCs w:val="36"/>
        </w:rPr>
        <w:t>2018年高等教育网络培训服务计划</w:t>
      </w:r>
    </w:p>
    <w:p>
      <w:pPr>
        <w:keepNext w:val="0"/>
        <w:keepLines w:val="0"/>
        <w:pageBreakBefore w:val="0"/>
        <w:widowControl w:val="0"/>
        <w:kinsoku/>
        <w:wordWrap/>
        <w:overflowPunct/>
        <w:topLinePunct w:val="0"/>
        <w:autoSpaceDE/>
        <w:autoSpaceDN/>
        <w:bidi w:val="0"/>
        <w:adjustRightInd/>
        <w:snapToGrid/>
        <w:spacing w:before="157" w:beforeLines="50" w:after="95" w:afterLines="30" w:line="360" w:lineRule="auto"/>
        <w:ind w:left="0" w:leftChars="0" w:right="0" w:rightChars="0" w:firstLine="0" w:firstLineChars="0"/>
        <w:jc w:val="center"/>
        <w:textAlignment w:val="auto"/>
        <w:outlineLvl w:val="9"/>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一、培训项目计划表</w:t>
      </w:r>
    </w:p>
    <w:tbl>
      <w:tblPr>
        <w:tblStyle w:val="9"/>
        <w:tblW w:w="9942" w:type="dxa"/>
        <w:jc w:val="center"/>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
        <w:gridCol w:w="11"/>
        <w:gridCol w:w="3180"/>
        <w:gridCol w:w="2292"/>
        <w:gridCol w:w="1478"/>
        <w:gridCol w:w="1205"/>
        <w:gridCol w:w="11"/>
        <w:gridCol w:w="1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2" w:hRule="atLeast"/>
          <w:tblHeader/>
          <w:jc w:val="center"/>
        </w:trPr>
        <w:tc>
          <w:tcPr>
            <w:tcW w:w="51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黑体"/>
                <w:color w:val="000000"/>
                <w:sz w:val="24"/>
                <w:szCs w:val="24"/>
              </w:rPr>
            </w:pPr>
            <w:r>
              <w:rPr>
                <w:rFonts w:hint="eastAsia" w:ascii="Times New Roman" w:hAnsi="Times New Roman" w:eastAsia="黑体"/>
                <w:color w:val="000000"/>
                <w:sz w:val="24"/>
                <w:szCs w:val="24"/>
              </w:rPr>
              <w:t>编号</w:t>
            </w:r>
          </w:p>
        </w:tc>
        <w:tc>
          <w:tcPr>
            <w:tcW w:w="319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黑体"/>
                <w:color w:val="000000"/>
                <w:sz w:val="24"/>
                <w:szCs w:val="24"/>
              </w:rPr>
            </w:pPr>
            <w:r>
              <w:rPr>
                <w:rFonts w:hint="eastAsia" w:ascii="Times New Roman" w:hAnsi="Times New Roman" w:eastAsia="黑体"/>
                <w:color w:val="000000"/>
                <w:sz w:val="24"/>
                <w:szCs w:val="24"/>
              </w:rPr>
              <w:t>培训主题</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黑体"/>
                <w:color w:val="000000"/>
                <w:sz w:val="24"/>
                <w:szCs w:val="24"/>
              </w:rPr>
            </w:pPr>
            <w:r>
              <w:rPr>
                <w:rFonts w:hint="eastAsia" w:ascii="Times New Roman" w:hAnsi="Times New Roman" w:eastAsia="黑体"/>
                <w:color w:val="000000"/>
                <w:sz w:val="24"/>
                <w:szCs w:val="24"/>
              </w:rPr>
              <w:t>培训对象</w:t>
            </w:r>
          </w:p>
        </w:tc>
        <w:tc>
          <w:tcPr>
            <w:tcW w:w="147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黑体"/>
                <w:color w:val="000000"/>
                <w:sz w:val="24"/>
                <w:szCs w:val="24"/>
              </w:rPr>
            </w:pPr>
            <w:r>
              <w:rPr>
                <w:rFonts w:hint="eastAsia" w:ascii="Times New Roman" w:hAnsi="Times New Roman" w:eastAsia="黑体"/>
                <w:color w:val="000000"/>
                <w:sz w:val="24"/>
                <w:szCs w:val="24"/>
              </w:rPr>
              <w:t>启动时间</w:t>
            </w:r>
          </w:p>
        </w:tc>
        <w:tc>
          <w:tcPr>
            <w:tcW w:w="121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黑体"/>
                <w:color w:val="000000"/>
                <w:sz w:val="24"/>
                <w:szCs w:val="24"/>
              </w:rPr>
            </w:pPr>
            <w:r>
              <w:rPr>
                <w:rFonts w:hint="eastAsia" w:ascii="Times New Roman" w:hAnsi="Times New Roman" w:eastAsia="黑体"/>
                <w:color w:val="000000"/>
                <w:sz w:val="24"/>
                <w:szCs w:val="24"/>
              </w:rPr>
              <w:t>培训时长</w:t>
            </w:r>
          </w:p>
        </w:tc>
        <w:tc>
          <w:tcPr>
            <w:tcW w:w="124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黑体"/>
                <w:color w:val="000000"/>
                <w:sz w:val="24"/>
                <w:szCs w:val="24"/>
              </w:rPr>
            </w:pPr>
            <w:r>
              <w:rPr>
                <w:rFonts w:hint="eastAsia" w:ascii="Times New Roman" w:hAnsi="Times New Roman" w:eastAsia="黑体"/>
                <w:color w:val="000000"/>
                <w:sz w:val="24"/>
                <w:szCs w:val="24"/>
              </w:rPr>
              <w:t>费用标准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9942" w:type="dxa"/>
            <w:gridSpan w:val="8"/>
            <w:vAlign w:val="center"/>
          </w:tcPr>
          <w:p>
            <w:pPr>
              <w:spacing w:line="360" w:lineRule="auto"/>
              <w:jc w:val="left"/>
              <w:rPr>
                <w:rFonts w:hint="eastAsia" w:ascii="Times New Roman" w:hAnsi="Times New Roman" w:eastAsia="黑体"/>
                <w:color w:val="000000"/>
                <w:sz w:val="32"/>
                <w:szCs w:val="32"/>
              </w:rPr>
            </w:pPr>
            <w:r>
              <w:rPr>
                <w:rFonts w:hint="eastAsia" w:ascii="Times New Roman" w:hAnsi="Times New Roman" w:eastAsia="黑体"/>
                <w:color w:val="000000"/>
                <w:sz w:val="28"/>
                <w:szCs w:val="28"/>
              </w:rPr>
              <w:t>一、党建与党性党规党纪教育培训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0" w:hRule="atLeast"/>
          <w:jc w:val="center"/>
        </w:trPr>
        <w:tc>
          <w:tcPr>
            <w:tcW w:w="516"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1</w:t>
            </w:r>
          </w:p>
        </w:tc>
        <w:tc>
          <w:tcPr>
            <w:tcW w:w="3191" w:type="dxa"/>
            <w:gridSpan w:val="2"/>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auto"/>
                <w:sz w:val="24"/>
              </w:rPr>
              <w:t>学习贯彻习近平新时代中国特色社会主义思想和党的十九大精神</w:t>
            </w:r>
          </w:p>
        </w:tc>
        <w:tc>
          <w:tcPr>
            <w:tcW w:w="2292" w:type="dxa"/>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auto"/>
                <w:sz w:val="24"/>
              </w:rPr>
              <w:t>高校党员、干部及</w:t>
            </w:r>
          </w:p>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auto"/>
                <w:sz w:val="24"/>
              </w:rPr>
              <w:t>教职员工</w:t>
            </w:r>
          </w:p>
        </w:tc>
        <w:tc>
          <w:tcPr>
            <w:tcW w:w="1478"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2018年3月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2个月</w:t>
            </w:r>
          </w:p>
        </w:tc>
        <w:tc>
          <w:tcPr>
            <w:tcW w:w="1249"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200元/人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63" w:hRule="atLeast"/>
          <w:jc w:val="center"/>
        </w:trPr>
        <w:tc>
          <w:tcPr>
            <w:tcW w:w="516"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2</w:t>
            </w:r>
          </w:p>
        </w:tc>
        <w:tc>
          <w:tcPr>
            <w:tcW w:w="3191" w:type="dxa"/>
            <w:gridSpan w:val="2"/>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auto"/>
                <w:sz w:val="24"/>
              </w:rPr>
              <w:t>加强高等学校党风廉政建设 营造风清气正的教育发展氛围</w:t>
            </w:r>
          </w:p>
        </w:tc>
        <w:tc>
          <w:tcPr>
            <w:tcW w:w="2292" w:type="dxa"/>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auto"/>
                <w:sz w:val="24"/>
              </w:rPr>
              <w:t>高校校领导、院（部）党政负责人、职能部门负责人、校纪委委员、纪检、监察、审计相关人员</w:t>
            </w:r>
          </w:p>
        </w:tc>
        <w:tc>
          <w:tcPr>
            <w:tcW w:w="1478" w:type="dxa"/>
            <w:vAlign w:val="center"/>
          </w:tcPr>
          <w:p>
            <w:pPr>
              <w:spacing w:line="360" w:lineRule="auto"/>
              <w:jc w:val="center"/>
              <w:rPr>
                <w:rFonts w:hint="eastAsia" w:ascii="Times New Roman" w:hAnsi="Times New Roman" w:eastAsia="仿宋" w:cs="仿宋"/>
                <w:color w:val="auto"/>
                <w:sz w:val="24"/>
              </w:rPr>
            </w:pPr>
            <w:r>
              <w:rPr>
                <w:rFonts w:ascii="Times New Roman" w:hAnsi="Times New Roman" w:eastAsia="仿宋" w:cs="仿宋"/>
                <w:color w:val="auto"/>
                <w:sz w:val="24"/>
              </w:rPr>
              <w:t>2018</w:t>
            </w:r>
            <w:r>
              <w:rPr>
                <w:rFonts w:hint="eastAsia" w:ascii="Times New Roman" w:hAnsi="Times New Roman" w:eastAsia="仿宋" w:cs="仿宋"/>
                <w:color w:val="auto"/>
                <w:sz w:val="24"/>
              </w:rPr>
              <w:t>年</w:t>
            </w:r>
            <w:r>
              <w:rPr>
                <w:rFonts w:ascii="Times New Roman" w:hAnsi="Times New Roman" w:eastAsia="仿宋" w:cs="仿宋"/>
                <w:color w:val="auto"/>
                <w:sz w:val="24"/>
              </w:rPr>
              <w:t>3</w:t>
            </w:r>
            <w:r>
              <w:rPr>
                <w:rFonts w:hint="eastAsia" w:ascii="Times New Roman" w:hAnsi="Times New Roman" w:eastAsia="仿宋" w:cs="仿宋"/>
                <w:color w:val="auto"/>
                <w:sz w:val="24"/>
              </w:rPr>
              <w:t>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3个月</w:t>
            </w:r>
          </w:p>
        </w:tc>
        <w:tc>
          <w:tcPr>
            <w:tcW w:w="1249"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200元/人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9" w:hRule="atLeast"/>
          <w:jc w:val="center"/>
        </w:trPr>
        <w:tc>
          <w:tcPr>
            <w:tcW w:w="516"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3</w:t>
            </w:r>
          </w:p>
        </w:tc>
        <w:tc>
          <w:tcPr>
            <w:tcW w:w="3191" w:type="dxa"/>
            <w:gridSpan w:val="2"/>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auto"/>
                <w:sz w:val="24"/>
              </w:rPr>
              <w:t>2018年全国大学生入党积极分子、发展对象、预备党员、党员</w:t>
            </w:r>
            <w:r>
              <w:rPr>
                <w:rFonts w:hint="eastAsia" w:ascii="Times New Roman" w:hAnsi="Times New Roman" w:eastAsia="仿宋" w:cs="仿宋"/>
                <w:color w:val="auto"/>
                <w:sz w:val="24"/>
                <w:lang w:val="en-US" w:eastAsia="zh-CN"/>
              </w:rPr>
              <w:t>培训</w:t>
            </w:r>
          </w:p>
        </w:tc>
        <w:tc>
          <w:tcPr>
            <w:tcW w:w="2292" w:type="dxa"/>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auto"/>
                <w:sz w:val="24"/>
              </w:rPr>
              <w:t>高校大学生入党积极分子、发展对象、预备党员、党员</w:t>
            </w:r>
          </w:p>
        </w:tc>
        <w:tc>
          <w:tcPr>
            <w:tcW w:w="1478" w:type="dxa"/>
            <w:vAlign w:val="center"/>
          </w:tcPr>
          <w:p>
            <w:pPr>
              <w:spacing w:line="360" w:lineRule="auto"/>
              <w:jc w:val="center"/>
              <w:rPr>
                <w:rFonts w:hint="eastAsia" w:ascii="Times New Roman" w:hAnsi="Times New Roman" w:eastAsia="仿宋" w:cs="仿宋"/>
                <w:color w:val="auto"/>
                <w:sz w:val="24"/>
              </w:rPr>
            </w:pPr>
            <w:r>
              <w:rPr>
                <w:rFonts w:ascii="Times New Roman" w:hAnsi="Times New Roman" w:eastAsia="仿宋" w:cs="仿宋"/>
                <w:color w:val="auto"/>
                <w:sz w:val="24"/>
              </w:rPr>
              <w:t>2018</w:t>
            </w:r>
            <w:r>
              <w:rPr>
                <w:rFonts w:hint="eastAsia" w:ascii="Times New Roman" w:hAnsi="Times New Roman" w:eastAsia="仿宋" w:cs="仿宋"/>
                <w:color w:val="auto"/>
                <w:sz w:val="24"/>
              </w:rPr>
              <w:t>年3月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2个月</w:t>
            </w:r>
          </w:p>
        </w:tc>
        <w:tc>
          <w:tcPr>
            <w:tcW w:w="1249"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50元/人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1" w:hRule="atLeast"/>
          <w:jc w:val="center"/>
        </w:trPr>
        <w:tc>
          <w:tcPr>
            <w:tcW w:w="516"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4</w:t>
            </w:r>
          </w:p>
        </w:tc>
        <w:tc>
          <w:tcPr>
            <w:tcW w:w="3191" w:type="dxa"/>
            <w:gridSpan w:val="2"/>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auto"/>
                <w:sz w:val="24"/>
              </w:rPr>
              <w:t>第二期高校党务工作者能力提升</w:t>
            </w:r>
          </w:p>
        </w:tc>
        <w:tc>
          <w:tcPr>
            <w:tcW w:w="2292" w:type="dxa"/>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auto"/>
                <w:sz w:val="24"/>
              </w:rPr>
              <w:t>高校各二级党组织书记（副书记）、党支部书记等党务工作者（含专任教师）</w:t>
            </w:r>
          </w:p>
        </w:tc>
        <w:tc>
          <w:tcPr>
            <w:tcW w:w="1478" w:type="dxa"/>
            <w:vAlign w:val="center"/>
          </w:tcPr>
          <w:p>
            <w:pPr>
              <w:spacing w:line="360" w:lineRule="auto"/>
              <w:jc w:val="center"/>
              <w:rPr>
                <w:rFonts w:ascii="Times New Roman" w:hAnsi="Times New Roman" w:eastAsia="仿宋" w:cs="仿宋"/>
                <w:color w:val="auto"/>
                <w:sz w:val="24"/>
              </w:rPr>
            </w:pPr>
            <w:r>
              <w:rPr>
                <w:rFonts w:hint="eastAsia" w:ascii="Times New Roman" w:hAnsi="Times New Roman" w:eastAsia="仿宋" w:cs="仿宋"/>
                <w:color w:val="auto"/>
                <w:sz w:val="24"/>
              </w:rPr>
              <w:t>2018年4月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3个月</w:t>
            </w:r>
          </w:p>
        </w:tc>
        <w:tc>
          <w:tcPr>
            <w:tcW w:w="1249" w:type="dxa"/>
            <w:vAlign w:val="center"/>
          </w:tcPr>
          <w:p>
            <w:pPr>
              <w:spacing w:line="360" w:lineRule="auto"/>
              <w:jc w:val="center"/>
              <w:rPr>
                <w:rFonts w:hint="eastAsia" w:ascii="Times New Roman" w:hAnsi="Times New Roman" w:eastAsia="仿宋" w:cs="仿宋"/>
                <w:color w:val="auto"/>
                <w:sz w:val="24"/>
              </w:rPr>
            </w:pPr>
            <w:r>
              <w:rPr>
                <w:rFonts w:ascii="Times New Roman" w:hAnsi="Times New Roman" w:eastAsia="仿宋" w:cs="仿宋"/>
                <w:color w:val="auto"/>
                <w:sz w:val="24"/>
              </w:rPr>
              <w:t>200</w:t>
            </w:r>
            <w:r>
              <w:rPr>
                <w:rFonts w:hint="eastAsia" w:ascii="Times New Roman" w:hAnsi="Times New Roman" w:eastAsia="仿宋" w:cs="仿宋"/>
                <w:color w:val="auto"/>
                <w:sz w:val="24"/>
              </w:rPr>
              <w:t>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jc w:val="center"/>
        </w:trPr>
        <w:tc>
          <w:tcPr>
            <w:tcW w:w="9942" w:type="dxa"/>
            <w:gridSpan w:val="8"/>
            <w:vAlign w:val="center"/>
          </w:tcPr>
          <w:p>
            <w:pPr>
              <w:spacing w:line="360" w:lineRule="auto"/>
              <w:jc w:val="left"/>
              <w:rPr>
                <w:rFonts w:hint="eastAsia" w:ascii="Times New Roman" w:hAnsi="Times New Roman" w:eastAsia="仿宋" w:cs="仿宋"/>
                <w:color w:val="000000"/>
                <w:sz w:val="24"/>
              </w:rPr>
            </w:pPr>
            <w:r>
              <w:rPr>
                <w:rFonts w:hint="eastAsia" w:ascii="Times New Roman" w:hAnsi="Times New Roman" w:eastAsia="黑体"/>
                <w:color w:val="000000"/>
                <w:sz w:val="28"/>
                <w:szCs w:val="28"/>
              </w:rPr>
              <w:t>二、高校思想政治工作培训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16"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5</w:t>
            </w:r>
          </w:p>
        </w:tc>
        <w:tc>
          <w:tcPr>
            <w:tcW w:w="3191" w:type="dxa"/>
            <w:gridSpan w:val="2"/>
            <w:vAlign w:val="center"/>
          </w:tcPr>
          <w:p>
            <w:pPr>
              <w:spacing w:line="360" w:lineRule="auto"/>
              <w:rPr>
                <w:rFonts w:hint="eastAsia" w:ascii="Times New Roman" w:hAnsi="Times New Roman" w:eastAsia="仿宋" w:cs="仿宋"/>
                <w:color w:val="auto"/>
                <w:sz w:val="24"/>
              </w:rPr>
            </w:pPr>
            <w:r>
              <w:rPr>
                <w:rFonts w:hint="eastAsia" w:ascii="Times New Roman" w:hAnsi="Times New Roman" w:eastAsia="仿宋" w:cs="仿宋"/>
                <w:color w:val="auto"/>
                <w:sz w:val="24"/>
              </w:rPr>
              <w:t>第一期高校思想政治</w:t>
            </w:r>
            <w:r>
              <w:rPr>
                <w:rFonts w:hint="eastAsia" w:ascii="Times New Roman" w:hAnsi="Times New Roman" w:eastAsia="仿宋" w:cs="仿宋"/>
                <w:color w:val="auto"/>
                <w:sz w:val="24"/>
                <w:lang w:val="en-US" w:eastAsia="zh-CN"/>
              </w:rPr>
              <w:t>理论</w:t>
            </w:r>
            <w:r>
              <w:rPr>
                <w:rFonts w:hint="eastAsia" w:ascii="Times New Roman" w:hAnsi="Times New Roman" w:eastAsia="仿宋" w:cs="仿宋"/>
                <w:color w:val="auto"/>
                <w:sz w:val="24"/>
              </w:rPr>
              <w:t>课教师培训</w:t>
            </w:r>
          </w:p>
        </w:tc>
        <w:tc>
          <w:tcPr>
            <w:tcW w:w="2292" w:type="dxa"/>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auto"/>
                <w:sz w:val="24"/>
              </w:rPr>
              <w:t>高校思政课教师</w:t>
            </w:r>
          </w:p>
        </w:tc>
        <w:tc>
          <w:tcPr>
            <w:tcW w:w="1478"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2018年4月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3个月</w:t>
            </w:r>
          </w:p>
        </w:tc>
        <w:tc>
          <w:tcPr>
            <w:tcW w:w="1249"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280元/人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2" w:hRule="atLeast"/>
          <w:jc w:val="center"/>
        </w:trPr>
        <w:tc>
          <w:tcPr>
            <w:tcW w:w="516" w:type="dxa"/>
            <w:vAlign w:val="center"/>
          </w:tcPr>
          <w:p>
            <w:pPr>
              <w:spacing w:line="360" w:lineRule="auto"/>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6</w:t>
            </w:r>
          </w:p>
        </w:tc>
        <w:tc>
          <w:tcPr>
            <w:tcW w:w="3191" w:type="dxa"/>
            <w:gridSpan w:val="2"/>
            <w:vAlign w:val="center"/>
          </w:tcPr>
          <w:p>
            <w:pPr>
              <w:spacing w:line="360" w:lineRule="auto"/>
              <w:jc w:val="left"/>
              <w:rPr>
                <w:rFonts w:hint="eastAsia" w:ascii="Times New Roman" w:hAnsi="Times New Roman" w:eastAsia="仿宋" w:cs="仿宋"/>
                <w:color w:val="000000"/>
                <w:sz w:val="24"/>
              </w:rPr>
            </w:pPr>
            <w:r>
              <w:rPr>
                <w:rFonts w:hint="eastAsia" w:ascii="Times New Roman" w:hAnsi="Times New Roman" w:eastAsia="仿宋" w:cs="仿宋"/>
                <w:color w:val="000000"/>
                <w:sz w:val="24"/>
              </w:rPr>
              <w:t>第二期普通高等学校团学工作</w:t>
            </w:r>
          </w:p>
        </w:tc>
        <w:tc>
          <w:tcPr>
            <w:tcW w:w="2292" w:type="dxa"/>
            <w:vAlign w:val="center"/>
          </w:tcPr>
          <w:p>
            <w:pPr>
              <w:spacing w:line="360" w:lineRule="auto"/>
              <w:jc w:val="left"/>
              <w:rPr>
                <w:rFonts w:hint="eastAsia" w:ascii="Times New Roman" w:hAnsi="Times New Roman" w:eastAsia="仿宋" w:cs="仿宋"/>
                <w:color w:val="000000"/>
                <w:sz w:val="24"/>
              </w:rPr>
            </w:pPr>
            <w:r>
              <w:rPr>
                <w:rFonts w:hint="eastAsia" w:ascii="Times New Roman" w:hAnsi="Times New Roman" w:eastAsia="仿宋" w:cs="仿宋"/>
                <w:color w:val="000000"/>
                <w:sz w:val="24"/>
              </w:rPr>
              <w:t>高校团委书记、团委相关职能部门或直属学生组织的相关指导教师和大学生团学骨干</w:t>
            </w:r>
            <w:r>
              <w:rPr>
                <w:rFonts w:hint="eastAsia" w:ascii="Times New Roman" w:hAnsi="Times New Roman" w:eastAsia="仿宋" w:cs="仿宋"/>
                <w:color w:val="000000"/>
                <w:sz w:val="24"/>
                <w:lang w:eastAsia="zh-CN"/>
              </w:rPr>
              <w:t>、</w:t>
            </w:r>
            <w:r>
              <w:rPr>
                <w:rFonts w:hint="eastAsia" w:ascii="Times New Roman" w:hAnsi="Times New Roman" w:eastAsia="仿宋" w:cs="仿宋"/>
                <w:color w:val="000000"/>
                <w:sz w:val="24"/>
                <w:lang w:val="en-US" w:eastAsia="zh-CN"/>
              </w:rPr>
              <w:t>团员</w:t>
            </w:r>
          </w:p>
        </w:tc>
        <w:tc>
          <w:tcPr>
            <w:tcW w:w="1478" w:type="dxa"/>
            <w:vAlign w:val="center"/>
          </w:tcPr>
          <w:p>
            <w:pPr>
              <w:spacing w:line="360" w:lineRule="auto"/>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2018年4月</w:t>
            </w:r>
          </w:p>
        </w:tc>
        <w:tc>
          <w:tcPr>
            <w:tcW w:w="1216" w:type="dxa"/>
            <w:gridSpan w:val="2"/>
            <w:vAlign w:val="center"/>
          </w:tcPr>
          <w:p>
            <w:pPr>
              <w:spacing w:line="360" w:lineRule="auto"/>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3个月</w:t>
            </w:r>
          </w:p>
        </w:tc>
        <w:tc>
          <w:tcPr>
            <w:tcW w:w="1249" w:type="dxa"/>
            <w:vAlign w:val="center"/>
          </w:tcPr>
          <w:p>
            <w:pPr>
              <w:spacing w:line="360" w:lineRule="auto"/>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50元/人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5" w:hRule="atLeast"/>
          <w:jc w:val="center"/>
        </w:trPr>
        <w:tc>
          <w:tcPr>
            <w:tcW w:w="516"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7</w:t>
            </w:r>
          </w:p>
        </w:tc>
        <w:tc>
          <w:tcPr>
            <w:tcW w:w="3191" w:type="dxa"/>
            <w:gridSpan w:val="2"/>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auto"/>
                <w:sz w:val="24"/>
              </w:rPr>
              <w:t>第六期普通高等学校辅导员网络培训班</w:t>
            </w:r>
          </w:p>
        </w:tc>
        <w:tc>
          <w:tcPr>
            <w:tcW w:w="2292" w:type="dxa"/>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auto"/>
                <w:sz w:val="24"/>
              </w:rPr>
              <w:t>高校院系党委副书记、学工组长、团委、辅导员（班主任）</w:t>
            </w:r>
          </w:p>
        </w:tc>
        <w:tc>
          <w:tcPr>
            <w:tcW w:w="1478"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201</w:t>
            </w:r>
            <w:r>
              <w:rPr>
                <w:rFonts w:ascii="Times New Roman" w:hAnsi="Times New Roman" w:eastAsia="仿宋" w:cs="仿宋"/>
                <w:color w:val="auto"/>
                <w:sz w:val="24"/>
              </w:rPr>
              <w:t>8</w:t>
            </w:r>
            <w:r>
              <w:rPr>
                <w:rFonts w:hint="eastAsia" w:ascii="Times New Roman" w:hAnsi="Times New Roman" w:eastAsia="仿宋" w:cs="仿宋"/>
                <w:color w:val="auto"/>
                <w:sz w:val="24"/>
              </w:rPr>
              <w:t>年9月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3个月</w:t>
            </w:r>
          </w:p>
        </w:tc>
        <w:tc>
          <w:tcPr>
            <w:tcW w:w="1249"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auto"/>
                <w:sz w:val="24"/>
              </w:rPr>
              <w:t>280元/人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9942" w:type="dxa"/>
            <w:gridSpan w:val="8"/>
            <w:vAlign w:val="center"/>
          </w:tcPr>
          <w:p>
            <w:pPr>
              <w:spacing w:line="360" w:lineRule="auto"/>
              <w:jc w:val="left"/>
              <w:rPr>
                <w:rFonts w:hint="eastAsia" w:ascii="Times New Roman" w:hAnsi="Times New Roman" w:eastAsia="仿宋"/>
                <w:color w:val="000000"/>
                <w:sz w:val="24"/>
              </w:rPr>
            </w:pPr>
            <w:r>
              <w:rPr>
                <w:rFonts w:hint="eastAsia" w:ascii="Times New Roman" w:hAnsi="Times New Roman" w:eastAsia="黑体"/>
                <w:sz w:val="28"/>
                <w:szCs w:val="28"/>
              </w:rPr>
              <w:t>三、岗位任职与提高培训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8" w:hRule="atLeast"/>
          <w:jc w:val="center"/>
        </w:trPr>
        <w:tc>
          <w:tcPr>
            <w:tcW w:w="516"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8</w:t>
            </w:r>
          </w:p>
        </w:tc>
        <w:tc>
          <w:tcPr>
            <w:tcW w:w="3191" w:type="dxa"/>
            <w:gridSpan w:val="2"/>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olor w:val="000000"/>
                <w:sz w:val="24"/>
              </w:rPr>
              <w:t>高校管理干部业务和能力素质提升</w:t>
            </w:r>
          </w:p>
        </w:tc>
        <w:tc>
          <w:tcPr>
            <w:tcW w:w="2292" w:type="dxa"/>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olor w:val="000000"/>
                <w:sz w:val="24"/>
              </w:rPr>
              <w:t>高校科级（含副职）及以上干部</w:t>
            </w:r>
          </w:p>
        </w:tc>
        <w:tc>
          <w:tcPr>
            <w:tcW w:w="1478"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olor w:val="000000"/>
                <w:sz w:val="24"/>
              </w:rPr>
              <w:t>2018年4月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olor w:val="000000"/>
                <w:sz w:val="24"/>
              </w:rPr>
              <w:t>3个月</w:t>
            </w:r>
          </w:p>
        </w:tc>
        <w:tc>
          <w:tcPr>
            <w:tcW w:w="1249"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olor w:val="000000"/>
                <w:sz w:val="24"/>
              </w:rPr>
              <w:t>260元/人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 w:hRule="atLeast"/>
          <w:jc w:val="center"/>
        </w:trPr>
        <w:tc>
          <w:tcPr>
            <w:tcW w:w="516"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9</w:t>
            </w:r>
          </w:p>
        </w:tc>
        <w:tc>
          <w:tcPr>
            <w:tcW w:w="3191" w:type="dxa"/>
            <w:gridSpan w:val="2"/>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olor w:val="000000"/>
                <w:sz w:val="24"/>
              </w:rPr>
              <w:t>第二期高校依法治校能力提升</w:t>
            </w:r>
          </w:p>
        </w:tc>
        <w:tc>
          <w:tcPr>
            <w:tcW w:w="2292" w:type="dxa"/>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olor w:val="000000"/>
                <w:sz w:val="24"/>
              </w:rPr>
              <w:t>高校行政管理人员（含高校领导、发展规划、学工部、教务处、法务等职能部门、院系领导等）</w:t>
            </w:r>
          </w:p>
        </w:tc>
        <w:tc>
          <w:tcPr>
            <w:tcW w:w="1478"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olor w:val="000000"/>
                <w:sz w:val="24"/>
              </w:rPr>
              <w:t>2018年9月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olor w:val="000000"/>
                <w:sz w:val="24"/>
              </w:rPr>
              <w:t>3个月</w:t>
            </w:r>
          </w:p>
        </w:tc>
        <w:tc>
          <w:tcPr>
            <w:tcW w:w="1249"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olor w:val="000000"/>
                <w:sz w:val="24"/>
              </w:rPr>
              <w:t>200元/人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9" w:hRule="atLeast"/>
          <w:jc w:val="center"/>
        </w:trPr>
        <w:tc>
          <w:tcPr>
            <w:tcW w:w="516"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10</w:t>
            </w:r>
          </w:p>
        </w:tc>
        <w:tc>
          <w:tcPr>
            <w:tcW w:w="3191" w:type="dxa"/>
            <w:gridSpan w:val="2"/>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000000"/>
                <w:sz w:val="24"/>
              </w:rPr>
              <w:t>高校新入职教师培训</w:t>
            </w:r>
          </w:p>
        </w:tc>
        <w:tc>
          <w:tcPr>
            <w:tcW w:w="2292" w:type="dxa"/>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000000"/>
                <w:sz w:val="24"/>
              </w:rPr>
              <w:t>高校新入职教师</w:t>
            </w:r>
          </w:p>
        </w:tc>
        <w:tc>
          <w:tcPr>
            <w:tcW w:w="1478"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2018年4月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3个月</w:t>
            </w:r>
          </w:p>
        </w:tc>
        <w:tc>
          <w:tcPr>
            <w:tcW w:w="124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仿宋" w:cs="仿宋"/>
                <w:color w:val="auto"/>
                <w:sz w:val="24"/>
              </w:rPr>
            </w:pPr>
            <w:r>
              <w:rPr>
                <w:rFonts w:hint="eastAsia" w:ascii="Times New Roman" w:hAnsi="Times New Roman" w:eastAsia="仿宋" w:cs="仿宋"/>
                <w:color w:val="000000"/>
                <w:sz w:val="24"/>
              </w:rPr>
              <w:t>200元/人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516"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11</w:t>
            </w:r>
          </w:p>
        </w:tc>
        <w:tc>
          <w:tcPr>
            <w:tcW w:w="3191" w:type="dxa"/>
            <w:gridSpan w:val="2"/>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000000"/>
                <w:sz w:val="24"/>
              </w:rPr>
              <w:t>高校教师专业发展</w:t>
            </w:r>
          </w:p>
        </w:tc>
        <w:tc>
          <w:tcPr>
            <w:tcW w:w="2292" w:type="dxa"/>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000000"/>
                <w:sz w:val="24"/>
              </w:rPr>
              <w:t>高校专任教师</w:t>
            </w:r>
          </w:p>
        </w:tc>
        <w:tc>
          <w:tcPr>
            <w:tcW w:w="1478"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2018年5月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1-3个月</w:t>
            </w:r>
          </w:p>
        </w:tc>
        <w:tc>
          <w:tcPr>
            <w:tcW w:w="124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仿宋" w:cs="仿宋"/>
                <w:color w:val="auto"/>
                <w:sz w:val="24"/>
              </w:rPr>
            </w:pPr>
            <w:r>
              <w:rPr>
                <w:rFonts w:hint="eastAsia" w:ascii="Times New Roman" w:hAnsi="Times New Roman" w:eastAsia="仿宋" w:cs="仿宋"/>
                <w:color w:val="000000"/>
                <w:sz w:val="24"/>
              </w:rPr>
              <w:t>100-400元/人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 w:hRule="atLeast"/>
          <w:jc w:val="center"/>
        </w:trPr>
        <w:tc>
          <w:tcPr>
            <w:tcW w:w="516" w:type="dxa"/>
            <w:vMerge w:val="restart"/>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12</w:t>
            </w:r>
          </w:p>
        </w:tc>
        <w:tc>
          <w:tcPr>
            <w:tcW w:w="3191" w:type="dxa"/>
            <w:gridSpan w:val="2"/>
            <w:vMerge w:val="restart"/>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000000"/>
                <w:sz w:val="24"/>
              </w:rPr>
              <w:t>第六期高校师德培训</w:t>
            </w:r>
          </w:p>
        </w:tc>
        <w:tc>
          <w:tcPr>
            <w:tcW w:w="2292" w:type="dxa"/>
            <w:vMerge w:val="restart"/>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000000"/>
                <w:sz w:val="24"/>
              </w:rPr>
              <w:t>高校教职工</w:t>
            </w:r>
          </w:p>
        </w:tc>
        <w:tc>
          <w:tcPr>
            <w:tcW w:w="1478" w:type="dxa"/>
            <w:vMerge w:val="restart"/>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2018年9月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3个月</w:t>
            </w:r>
          </w:p>
        </w:tc>
        <w:tc>
          <w:tcPr>
            <w:tcW w:w="1249"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200元/人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 w:hRule="atLeast"/>
          <w:jc w:val="center"/>
        </w:trPr>
        <w:tc>
          <w:tcPr>
            <w:tcW w:w="516" w:type="dxa"/>
            <w:vMerge w:val="continue"/>
            <w:vAlign w:val="center"/>
          </w:tcPr>
          <w:p>
            <w:pPr>
              <w:spacing w:line="360" w:lineRule="auto"/>
              <w:jc w:val="center"/>
              <w:rPr>
                <w:rFonts w:hint="eastAsia" w:ascii="Times New Roman" w:hAnsi="Times New Roman" w:eastAsia="仿宋" w:cs="仿宋"/>
                <w:color w:val="auto"/>
                <w:sz w:val="24"/>
              </w:rPr>
            </w:pPr>
          </w:p>
        </w:tc>
        <w:tc>
          <w:tcPr>
            <w:tcW w:w="3191" w:type="dxa"/>
            <w:gridSpan w:val="2"/>
            <w:vMerge w:val="continue"/>
            <w:vAlign w:val="center"/>
          </w:tcPr>
          <w:p>
            <w:pPr>
              <w:spacing w:line="360" w:lineRule="auto"/>
              <w:jc w:val="center"/>
              <w:rPr>
                <w:rFonts w:hint="eastAsia" w:ascii="Times New Roman" w:hAnsi="Times New Roman" w:eastAsia="仿宋" w:cs="仿宋"/>
                <w:color w:val="auto"/>
                <w:sz w:val="24"/>
              </w:rPr>
            </w:pPr>
          </w:p>
        </w:tc>
        <w:tc>
          <w:tcPr>
            <w:tcW w:w="2292" w:type="dxa"/>
            <w:vMerge w:val="continue"/>
            <w:vAlign w:val="center"/>
          </w:tcPr>
          <w:p>
            <w:pPr>
              <w:spacing w:line="360" w:lineRule="auto"/>
              <w:jc w:val="left"/>
              <w:rPr>
                <w:rFonts w:hint="eastAsia" w:ascii="Times New Roman" w:hAnsi="Times New Roman" w:eastAsia="仿宋" w:cs="仿宋"/>
                <w:color w:val="auto"/>
                <w:sz w:val="24"/>
              </w:rPr>
            </w:pPr>
          </w:p>
        </w:tc>
        <w:tc>
          <w:tcPr>
            <w:tcW w:w="1478" w:type="dxa"/>
            <w:vMerge w:val="continue"/>
            <w:vAlign w:val="center"/>
          </w:tcPr>
          <w:p>
            <w:pPr>
              <w:spacing w:line="360" w:lineRule="auto"/>
              <w:jc w:val="center"/>
              <w:rPr>
                <w:rFonts w:hint="eastAsia" w:ascii="Times New Roman" w:hAnsi="Times New Roman" w:eastAsia="仿宋" w:cs="仿宋"/>
                <w:color w:val="auto"/>
                <w:sz w:val="24"/>
              </w:rPr>
            </w:pP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12个月</w:t>
            </w:r>
          </w:p>
        </w:tc>
        <w:tc>
          <w:tcPr>
            <w:tcW w:w="1249"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300元/人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2" w:hRule="atLeast"/>
          <w:jc w:val="center"/>
        </w:trPr>
        <w:tc>
          <w:tcPr>
            <w:tcW w:w="516"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13</w:t>
            </w:r>
          </w:p>
        </w:tc>
        <w:tc>
          <w:tcPr>
            <w:tcW w:w="3191" w:type="dxa"/>
            <w:gridSpan w:val="2"/>
            <w:vAlign w:val="center"/>
          </w:tcPr>
          <w:p>
            <w:pPr>
              <w:spacing w:line="360" w:lineRule="auto"/>
              <w:rPr>
                <w:rFonts w:hint="eastAsia" w:ascii="Times New Roman" w:hAnsi="Times New Roman" w:eastAsia="仿宋" w:cs="仿宋"/>
                <w:color w:val="auto"/>
                <w:sz w:val="24"/>
              </w:rPr>
            </w:pPr>
            <w:r>
              <w:rPr>
                <w:rFonts w:hint="eastAsia" w:ascii="Times New Roman" w:hAnsi="Times New Roman" w:eastAsia="仿宋" w:cs="仿宋"/>
                <w:color w:val="000000"/>
                <w:sz w:val="24"/>
              </w:rPr>
              <w:t>第二期职业院校教师素质提升</w:t>
            </w:r>
          </w:p>
        </w:tc>
        <w:tc>
          <w:tcPr>
            <w:tcW w:w="2292" w:type="dxa"/>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000000"/>
                <w:sz w:val="24"/>
              </w:rPr>
              <w:t>职业院校（中职、高职）干部和教师</w:t>
            </w:r>
          </w:p>
        </w:tc>
        <w:tc>
          <w:tcPr>
            <w:tcW w:w="1478"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2</w:t>
            </w:r>
            <w:r>
              <w:rPr>
                <w:rFonts w:ascii="Times New Roman" w:hAnsi="Times New Roman" w:eastAsia="仿宋" w:cs="仿宋"/>
                <w:color w:val="000000"/>
                <w:sz w:val="24"/>
              </w:rPr>
              <w:t>01</w:t>
            </w:r>
            <w:r>
              <w:rPr>
                <w:rFonts w:hint="eastAsia" w:ascii="Times New Roman" w:hAnsi="Times New Roman" w:eastAsia="仿宋" w:cs="仿宋"/>
                <w:color w:val="000000"/>
                <w:sz w:val="24"/>
              </w:rPr>
              <w:t>8年</w:t>
            </w:r>
            <w:r>
              <w:rPr>
                <w:rFonts w:hint="eastAsia" w:ascii="Times New Roman" w:hAnsi="Times New Roman" w:eastAsia="仿宋" w:cs="仿宋"/>
                <w:color w:val="000000"/>
                <w:sz w:val="24"/>
                <w:lang w:val="en-US" w:eastAsia="zh-CN"/>
              </w:rPr>
              <w:t>7</w:t>
            </w:r>
            <w:r>
              <w:rPr>
                <w:rFonts w:hint="eastAsia" w:ascii="Times New Roman" w:hAnsi="Times New Roman" w:eastAsia="仿宋" w:cs="仿宋"/>
                <w:color w:val="000000"/>
                <w:sz w:val="24"/>
              </w:rPr>
              <w:t>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olor w:val="000000"/>
                <w:sz w:val="24"/>
              </w:rPr>
              <w:t>3个月</w:t>
            </w:r>
          </w:p>
        </w:tc>
        <w:tc>
          <w:tcPr>
            <w:tcW w:w="1249"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200元/人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4" w:hRule="atLeast"/>
          <w:jc w:val="center"/>
        </w:trPr>
        <w:tc>
          <w:tcPr>
            <w:tcW w:w="516"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14</w:t>
            </w:r>
          </w:p>
        </w:tc>
        <w:tc>
          <w:tcPr>
            <w:tcW w:w="3191" w:type="dxa"/>
            <w:gridSpan w:val="2"/>
            <w:vAlign w:val="center"/>
          </w:tcPr>
          <w:p>
            <w:pPr>
              <w:spacing w:line="360" w:lineRule="auto"/>
              <w:rPr>
                <w:rFonts w:hint="eastAsia" w:ascii="Times New Roman" w:hAnsi="Times New Roman" w:eastAsia="仿宋" w:cs="仿宋"/>
                <w:color w:val="auto"/>
                <w:sz w:val="24"/>
              </w:rPr>
            </w:pPr>
            <w:r>
              <w:rPr>
                <w:rFonts w:hint="eastAsia" w:ascii="Times New Roman" w:hAnsi="Times New Roman" w:eastAsia="仿宋" w:cs="仿宋"/>
                <w:color w:val="000000"/>
                <w:sz w:val="24"/>
              </w:rPr>
              <w:t>第一期职业院校教师信息化素养提升</w:t>
            </w:r>
          </w:p>
        </w:tc>
        <w:tc>
          <w:tcPr>
            <w:tcW w:w="2292" w:type="dxa"/>
            <w:vAlign w:val="center"/>
          </w:tcPr>
          <w:p>
            <w:pPr>
              <w:spacing w:line="360" w:lineRule="auto"/>
              <w:jc w:val="left"/>
              <w:rPr>
                <w:rFonts w:hint="eastAsia" w:ascii="Times New Roman" w:hAnsi="Times New Roman" w:eastAsia="仿宋" w:cs="仿宋"/>
                <w:color w:val="auto"/>
                <w:sz w:val="24"/>
              </w:rPr>
            </w:pPr>
            <w:r>
              <w:rPr>
                <w:rFonts w:hint="eastAsia" w:ascii="Times New Roman" w:hAnsi="Times New Roman" w:eastAsia="仿宋" w:cs="仿宋"/>
                <w:color w:val="000000"/>
                <w:sz w:val="24"/>
              </w:rPr>
              <w:t>职业院校（中职、高职）教师</w:t>
            </w:r>
          </w:p>
        </w:tc>
        <w:tc>
          <w:tcPr>
            <w:tcW w:w="1478"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2</w:t>
            </w:r>
            <w:r>
              <w:rPr>
                <w:rFonts w:ascii="Times New Roman" w:hAnsi="Times New Roman" w:eastAsia="仿宋" w:cs="仿宋"/>
                <w:color w:val="000000"/>
                <w:sz w:val="24"/>
              </w:rPr>
              <w:t>01</w:t>
            </w:r>
            <w:r>
              <w:rPr>
                <w:rFonts w:hint="eastAsia" w:ascii="Times New Roman" w:hAnsi="Times New Roman" w:eastAsia="仿宋" w:cs="仿宋"/>
                <w:color w:val="000000"/>
                <w:sz w:val="24"/>
              </w:rPr>
              <w:t>8年</w:t>
            </w:r>
            <w:r>
              <w:rPr>
                <w:rFonts w:hint="eastAsia" w:ascii="Times New Roman" w:hAnsi="Times New Roman" w:eastAsia="仿宋" w:cs="仿宋"/>
                <w:color w:val="000000"/>
                <w:sz w:val="24"/>
                <w:lang w:val="en-US" w:eastAsia="zh-CN"/>
              </w:rPr>
              <w:t>9</w:t>
            </w:r>
            <w:r>
              <w:rPr>
                <w:rFonts w:hint="eastAsia" w:ascii="Times New Roman" w:hAnsi="Times New Roman" w:eastAsia="仿宋" w:cs="仿宋"/>
                <w:color w:val="000000"/>
                <w:sz w:val="24"/>
              </w:rPr>
              <w:t>月</w:t>
            </w:r>
          </w:p>
        </w:tc>
        <w:tc>
          <w:tcPr>
            <w:tcW w:w="1216" w:type="dxa"/>
            <w:gridSpan w:val="2"/>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3个月</w:t>
            </w:r>
          </w:p>
        </w:tc>
        <w:tc>
          <w:tcPr>
            <w:tcW w:w="1249" w:type="dxa"/>
            <w:vAlign w:val="center"/>
          </w:tcPr>
          <w:p>
            <w:pPr>
              <w:spacing w:line="360" w:lineRule="auto"/>
              <w:jc w:val="center"/>
              <w:rPr>
                <w:rFonts w:hint="eastAsia" w:ascii="Times New Roman" w:hAnsi="Times New Roman" w:eastAsia="仿宋" w:cs="仿宋"/>
                <w:color w:val="auto"/>
                <w:sz w:val="24"/>
              </w:rPr>
            </w:pPr>
            <w:r>
              <w:rPr>
                <w:rFonts w:hint="eastAsia" w:ascii="Times New Roman" w:hAnsi="Times New Roman" w:eastAsia="仿宋" w:cs="仿宋"/>
                <w:color w:val="000000"/>
                <w:sz w:val="24"/>
              </w:rPr>
              <w:t>200元/人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4" w:hRule="atLeast"/>
          <w:jc w:val="center"/>
        </w:trPr>
        <w:tc>
          <w:tcPr>
            <w:tcW w:w="9942" w:type="dxa"/>
            <w:gridSpan w:val="8"/>
            <w:vAlign w:val="center"/>
          </w:tcPr>
          <w:p>
            <w:pPr>
              <w:spacing w:line="360" w:lineRule="auto"/>
              <w:jc w:val="left"/>
              <w:rPr>
                <w:rFonts w:hint="eastAsia" w:ascii="Times New Roman" w:hAnsi="Times New Roman" w:eastAsia="仿宋" w:cs="仿宋"/>
                <w:color w:val="000000"/>
                <w:sz w:val="24"/>
              </w:rPr>
            </w:pPr>
            <w:r>
              <w:rPr>
                <w:rFonts w:hint="eastAsia" w:ascii="Times New Roman" w:hAnsi="Times New Roman" w:eastAsia="黑体"/>
                <w:sz w:val="28"/>
                <w:szCs w:val="28"/>
              </w:rPr>
              <w:t>四、年度选学培训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 w:hRule="atLeast"/>
          <w:jc w:val="center"/>
        </w:trPr>
        <w:tc>
          <w:tcPr>
            <w:tcW w:w="527" w:type="dxa"/>
            <w:gridSpan w:val="2"/>
            <w:vAlign w:val="center"/>
          </w:tcPr>
          <w:p>
            <w:pPr>
              <w:spacing w:line="360" w:lineRule="auto"/>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15</w:t>
            </w:r>
          </w:p>
        </w:tc>
        <w:tc>
          <w:tcPr>
            <w:tcW w:w="3180" w:type="dxa"/>
            <w:vAlign w:val="center"/>
          </w:tcPr>
          <w:p>
            <w:pPr>
              <w:spacing w:line="360" w:lineRule="auto"/>
              <w:jc w:val="left"/>
              <w:rPr>
                <w:rFonts w:hint="eastAsia" w:ascii="Times New Roman" w:hAnsi="Times New Roman" w:eastAsia="仿宋" w:cs="仿宋"/>
                <w:color w:val="000000"/>
                <w:sz w:val="24"/>
              </w:rPr>
            </w:pPr>
            <w:r>
              <w:rPr>
                <w:rFonts w:hint="eastAsia" w:ascii="Times New Roman" w:hAnsi="Times New Roman" w:eastAsia="仿宋"/>
                <w:color w:val="000000"/>
                <w:sz w:val="24"/>
              </w:rPr>
              <w:t>年度选学培训</w:t>
            </w:r>
          </w:p>
        </w:tc>
        <w:tc>
          <w:tcPr>
            <w:tcW w:w="2292" w:type="dxa"/>
            <w:vAlign w:val="center"/>
          </w:tcPr>
          <w:p>
            <w:pPr>
              <w:spacing w:line="360" w:lineRule="auto"/>
              <w:jc w:val="left"/>
              <w:rPr>
                <w:rFonts w:hint="eastAsia" w:ascii="Times New Roman" w:hAnsi="Times New Roman" w:eastAsia="仿宋" w:cs="仿宋"/>
                <w:color w:val="000000"/>
                <w:sz w:val="24"/>
              </w:rPr>
            </w:pPr>
            <w:r>
              <w:rPr>
                <w:rFonts w:hint="eastAsia" w:ascii="Times New Roman" w:hAnsi="Times New Roman" w:eastAsia="仿宋_GB2312"/>
                <w:sz w:val="24"/>
              </w:rPr>
              <w:t>教育行政部门、普通高等院校、高等职业院校、民办院校的管理干部、教职员工及大学生</w:t>
            </w:r>
          </w:p>
        </w:tc>
        <w:tc>
          <w:tcPr>
            <w:tcW w:w="1478" w:type="dxa"/>
            <w:vAlign w:val="center"/>
          </w:tcPr>
          <w:p>
            <w:pPr>
              <w:spacing w:line="360" w:lineRule="auto"/>
              <w:jc w:val="center"/>
              <w:rPr>
                <w:rFonts w:hint="eastAsia" w:ascii="Times New Roman" w:hAnsi="Times New Roman" w:eastAsia="仿宋" w:cs="仿宋"/>
                <w:color w:val="000000"/>
                <w:sz w:val="24"/>
              </w:rPr>
            </w:pPr>
            <w:r>
              <w:rPr>
                <w:rFonts w:hint="eastAsia" w:ascii="Times New Roman" w:hAnsi="Times New Roman" w:eastAsia="仿宋"/>
                <w:color w:val="000000"/>
                <w:sz w:val="24"/>
              </w:rPr>
              <w:t>全年</w:t>
            </w:r>
          </w:p>
        </w:tc>
        <w:tc>
          <w:tcPr>
            <w:tcW w:w="1205" w:type="dxa"/>
            <w:vAlign w:val="center"/>
          </w:tcPr>
          <w:p>
            <w:pPr>
              <w:spacing w:line="360" w:lineRule="auto"/>
              <w:jc w:val="center"/>
              <w:rPr>
                <w:rFonts w:hint="eastAsia" w:ascii="Times New Roman" w:hAnsi="Times New Roman" w:eastAsia="仿宋" w:cs="仿宋"/>
                <w:color w:val="000000"/>
                <w:sz w:val="24"/>
              </w:rPr>
            </w:pPr>
            <w:r>
              <w:rPr>
                <w:rFonts w:hint="eastAsia" w:ascii="Times New Roman" w:hAnsi="Times New Roman" w:eastAsia="仿宋_GB2312"/>
                <w:sz w:val="24"/>
              </w:rPr>
              <w:t>自主安排</w:t>
            </w:r>
          </w:p>
        </w:tc>
        <w:tc>
          <w:tcPr>
            <w:tcW w:w="1260" w:type="dxa"/>
            <w:gridSpan w:val="2"/>
            <w:vAlign w:val="center"/>
          </w:tcPr>
          <w:p>
            <w:pPr>
              <w:spacing w:line="360" w:lineRule="auto"/>
              <w:jc w:val="center"/>
              <w:rPr>
                <w:rFonts w:hint="eastAsia" w:ascii="Times New Roman" w:hAnsi="Times New Roman" w:eastAsia="仿宋" w:cs="仿宋"/>
                <w:color w:val="000000"/>
                <w:sz w:val="24"/>
              </w:rPr>
            </w:pPr>
            <w:r>
              <w:rPr>
                <w:rFonts w:hint="eastAsia" w:ascii="Times New Roman" w:hAnsi="Times New Roman" w:eastAsia="仿宋"/>
                <w:color w:val="000000"/>
                <w:sz w:val="24"/>
              </w:rPr>
              <w:t>自主协商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jc w:val="center"/>
        </w:trPr>
        <w:tc>
          <w:tcPr>
            <w:tcW w:w="9942" w:type="dxa"/>
            <w:gridSpan w:val="8"/>
            <w:vAlign w:val="center"/>
          </w:tcPr>
          <w:p>
            <w:pPr>
              <w:spacing w:line="360" w:lineRule="auto"/>
              <w:jc w:val="left"/>
              <w:rPr>
                <w:rFonts w:hint="eastAsia" w:ascii="Times New Roman" w:hAnsi="Times New Roman" w:eastAsia="仿宋" w:cs="仿宋"/>
                <w:color w:val="000000"/>
                <w:sz w:val="24"/>
              </w:rPr>
            </w:pPr>
            <w:r>
              <w:rPr>
                <w:rFonts w:hint="eastAsia" w:ascii="Times New Roman" w:hAnsi="Times New Roman" w:eastAsia="黑体"/>
                <w:sz w:val="28"/>
                <w:szCs w:val="28"/>
              </w:rPr>
              <w:t>五、定制化培训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 w:hRule="atLeast"/>
          <w:jc w:val="center"/>
        </w:trPr>
        <w:tc>
          <w:tcPr>
            <w:tcW w:w="527" w:type="dxa"/>
            <w:gridSpan w:val="2"/>
            <w:vAlign w:val="center"/>
          </w:tcPr>
          <w:p>
            <w:pPr>
              <w:spacing w:line="360" w:lineRule="auto"/>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16</w:t>
            </w:r>
          </w:p>
        </w:tc>
        <w:tc>
          <w:tcPr>
            <w:tcW w:w="3180" w:type="dxa"/>
            <w:vAlign w:val="center"/>
          </w:tcPr>
          <w:p>
            <w:pPr>
              <w:spacing w:line="360" w:lineRule="auto"/>
              <w:jc w:val="left"/>
              <w:rPr>
                <w:rFonts w:hint="eastAsia" w:ascii="Times New Roman" w:hAnsi="Times New Roman" w:eastAsia="仿宋" w:cs="仿宋"/>
                <w:color w:val="000000"/>
                <w:sz w:val="24"/>
              </w:rPr>
            </w:pPr>
            <w:r>
              <w:rPr>
                <w:rFonts w:hint="eastAsia" w:ascii="Times New Roman" w:hAnsi="Times New Roman" w:eastAsia="仿宋"/>
                <w:color w:val="000000"/>
                <w:sz w:val="24"/>
              </w:rPr>
              <w:t>定制化（混合式）培训</w:t>
            </w:r>
          </w:p>
        </w:tc>
        <w:tc>
          <w:tcPr>
            <w:tcW w:w="2292" w:type="dxa"/>
            <w:vAlign w:val="center"/>
          </w:tcPr>
          <w:p>
            <w:pPr>
              <w:spacing w:line="360" w:lineRule="auto"/>
              <w:jc w:val="left"/>
              <w:rPr>
                <w:rFonts w:hint="eastAsia" w:ascii="Times New Roman" w:hAnsi="Times New Roman" w:eastAsia="仿宋" w:cs="仿宋"/>
                <w:color w:val="000000"/>
                <w:sz w:val="24"/>
              </w:rPr>
            </w:pPr>
            <w:r>
              <w:rPr>
                <w:rFonts w:hint="eastAsia" w:ascii="Times New Roman" w:hAnsi="Times New Roman" w:eastAsia="仿宋_GB2312"/>
                <w:sz w:val="24"/>
              </w:rPr>
              <w:t>教育行政部门、普通高等院校、高等职业院校、民办院校的管理干部、教职员工及大学生</w:t>
            </w:r>
          </w:p>
        </w:tc>
        <w:tc>
          <w:tcPr>
            <w:tcW w:w="1478" w:type="dxa"/>
            <w:vAlign w:val="center"/>
          </w:tcPr>
          <w:p>
            <w:pPr>
              <w:spacing w:line="360" w:lineRule="auto"/>
              <w:jc w:val="center"/>
              <w:rPr>
                <w:rFonts w:hint="eastAsia" w:ascii="Times New Roman" w:hAnsi="Times New Roman" w:eastAsia="仿宋" w:cs="仿宋"/>
                <w:color w:val="000000"/>
                <w:sz w:val="24"/>
              </w:rPr>
            </w:pPr>
            <w:r>
              <w:rPr>
                <w:rFonts w:hint="eastAsia" w:ascii="Times New Roman" w:hAnsi="Times New Roman" w:eastAsia="仿宋"/>
                <w:color w:val="000000"/>
                <w:sz w:val="24"/>
              </w:rPr>
              <w:t>全年</w:t>
            </w:r>
          </w:p>
        </w:tc>
        <w:tc>
          <w:tcPr>
            <w:tcW w:w="1205" w:type="dxa"/>
            <w:vAlign w:val="center"/>
          </w:tcPr>
          <w:p>
            <w:pPr>
              <w:spacing w:line="360" w:lineRule="auto"/>
              <w:jc w:val="center"/>
              <w:rPr>
                <w:rFonts w:hint="eastAsia" w:ascii="Times New Roman" w:hAnsi="Times New Roman" w:eastAsia="仿宋" w:cs="仿宋"/>
                <w:color w:val="000000"/>
                <w:sz w:val="24"/>
              </w:rPr>
            </w:pPr>
            <w:r>
              <w:rPr>
                <w:rFonts w:hint="eastAsia" w:ascii="Times New Roman" w:hAnsi="Times New Roman" w:eastAsia="仿宋_GB2312"/>
                <w:sz w:val="24"/>
              </w:rPr>
              <w:t>自主安排</w:t>
            </w:r>
          </w:p>
        </w:tc>
        <w:tc>
          <w:tcPr>
            <w:tcW w:w="1260" w:type="dxa"/>
            <w:gridSpan w:val="2"/>
            <w:vAlign w:val="center"/>
          </w:tcPr>
          <w:p>
            <w:pPr>
              <w:spacing w:line="360" w:lineRule="auto"/>
              <w:jc w:val="center"/>
              <w:rPr>
                <w:rFonts w:hint="eastAsia" w:ascii="Times New Roman" w:hAnsi="Times New Roman" w:eastAsia="仿宋" w:cs="仿宋"/>
                <w:color w:val="000000"/>
                <w:sz w:val="24"/>
              </w:rPr>
            </w:pPr>
            <w:r>
              <w:rPr>
                <w:rFonts w:hint="eastAsia" w:ascii="Times New Roman" w:hAnsi="Times New Roman" w:eastAsia="仿宋"/>
                <w:color w:val="000000"/>
                <w:sz w:val="24"/>
              </w:rPr>
              <w:t>自主协商</w:t>
            </w:r>
          </w:p>
        </w:tc>
      </w:tr>
    </w:tbl>
    <w:p>
      <w:pPr>
        <w:spacing w:line="360" w:lineRule="auto"/>
        <w:jc w:val="both"/>
        <w:rPr>
          <w:rFonts w:hint="eastAsia" w:ascii="Times New Roman" w:hAnsi="Times New Roman" w:eastAsia="黑体"/>
          <w:color w:val="000000"/>
          <w:sz w:val="32"/>
          <w:szCs w:val="32"/>
        </w:rPr>
        <w:sectPr>
          <w:footerReference r:id="rId5" w:type="first"/>
          <w:headerReference r:id="rId3" w:type="default"/>
          <w:footerReference r:id="rId4" w:type="default"/>
          <w:pgSz w:w="11906" w:h="16838"/>
          <w:pgMar w:top="1440" w:right="1803" w:bottom="1440" w:left="1803" w:header="851" w:footer="992" w:gutter="0"/>
          <w:cols w:space="720" w:num="1"/>
          <w:titlePg/>
          <w:docGrid w:type="linesAndChars" w:linePitch="312" w:charSpace="0"/>
        </w:sectPr>
      </w:pPr>
    </w:p>
    <w:p>
      <w:pPr>
        <w:spacing w:before="156" w:beforeLines="50" w:after="156" w:afterLines="50" w:line="360" w:lineRule="auto"/>
        <w:jc w:val="center"/>
        <w:rPr>
          <w:rFonts w:hint="eastAsia" w:ascii="Times New Roman" w:hAnsi="Times New Roman" w:eastAsia="黑体"/>
          <w:color w:val="000000"/>
          <w:sz w:val="36"/>
          <w:szCs w:val="36"/>
        </w:rPr>
      </w:pPr>
      <w:r>
        <w:rPr>
          <w:rFonts w:hint="eastAsia" w:ascii="Times New Roman" w:hAnsi="Times New Roman" w:eastAsia="黑体"/>
          <w:color w:val="000000"/>
          <w:sz w:val="36"/>
          <w:szCs w:val="36"/>
        </w:rPr>
        <w:t>二、培训项目简介</w:t>
      </w:r>
    </w:p>
    <w:p>
      <w:pPr>
        <w:spacing w:before="156" w:beforeLines="50" w:after="156" w:afterLines="50" w:line="360" w:lineRule="auto"/>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（一）党建与党性党规党纪教育培训</w:t>
      </w:r>
    </w:p>
    <w:p>
      <w:pPr>
        <w:ind w:firstLine="562" w:firstLineChars="200"/>
        <w:jc w:val="left"/>
        <w:rPr>
          <w:rFonts w:hint="eastAsia" w:ascii="Times New Roman" w:hAnsi="Times New Roman" w:eastAsia="仿宋"/>
          <w:color w:val="000000"/>
          <w:sz w:val="28"/>
          <w:szCs w:val="28"/>
        </w:rPr>
      </w:pPr>
      <w:r>
        <w:rPr>
          <w:rFonts w:ascii="Times New Roman" w:hAnsi="Times New Roman" w:eastAsia="黑体"/>
          <w:b/>
          <w:bCs/>
          <w:color w:val="000000"/>
          <w:sz w:val="28"/>
          <w:szCs w:val="28"/>
        </w:rPr>
        <w:t>1.</w:t>
      </w:r>
      <w:r>
        <w:rPr>
          <w:rFonts w:ascii="Times New Roman" w:hAnsi="Times New Roman" w:eastAsia="仿宋"/>
          <w:b/>
          <w:bCs/>
          <w:color w:val="000000"/>
          <w:sz w:val="28"/>
          <w:szCs w:val="28"/>
        </w:rPr>
        <w:t>学习贯彻习近平新时代中国特色社会主义思想和党的十九大精神专题网络培训。</w:t>
      </w:r>
      <w:r>
        <w:rPr>
          <w:rFonts w:hint="eastAsia" w:ascii="Times New Roman" w:hAnsi="Times New Roman" w:eastAsia="仿宋"/>
          <w:color w:val="000000"/>
          <w:sz w:val="28"/>
          <w:szCs w:val="28"/>
        </w:rPr>
        <w:t>学员对象为高校党员、干部及教职员工，启动时间为2018年3月，培训时长</w:t>
      </w:r>
      <w:r>
        <w:rPr>
          <w:rFonts w:hint="eastAsia" w:ascii="Times New Roman" w:hAnsi="Times New Roman" w:eastAsia="仿宋"/>
          <w:color w:val="000000"/>
          <w:sz w:val="28"/>
          <w:szCs w:val="28"/>
          <w:lang w:val="en-US" w:eastAsia="zh-CN"/>
        </w:rPr>
        <w:t>2</w:t>
      </w:r>
      <w:r>
        <w:rPr>
          <w:rFonts w:hint="eastAsia" w:ascii="Times New Roman" w:hAnsi="Times New Roman" w:eastAsia="仿宋"/>
          <w:color w:val="000000"/>
          <w:sz w:val="28"/>
          <w:szCs w:val="28"/>
        </w:rPr>
        <w:t>个月。该培训根据《中共教育部党组关于教育系统认真学习宣传贯彻党的十九大精神 写好教育“奋进之笔”的通知》（教党〔2017〕54号）文件要求，旨在引导高校党员干部和教师深入学习贯彻习近平新时代中国特色社会主义思想和党的十九大及十九届二中、三中全会</w:t>
      </w:r>
      <w:r>
        <w:rPr>
          <w:rFonts w:hint="eastAsia" w:ascii="Times New Roman" w:hAnsi="Times New Roman" w:eastAsia="仿宋"/>
          <w:color w:val="000000"/>
          <w:sz w:val="28"/>
          <w:szCs w:val="28"/>
          <w:lang w:val="en-US" w:eastAsia="zh-CN"/>
        </w:rPr>
        <w:t>等</w:t>
      </w:r>
      <w:r>
        <w:rPr>
          <w:rFonts w:hint="eastAsia" w:ascii="Times New Roman" w:hAnsi="Times New Roman" w:eastAsia="仿宋"/>
          <w:color w:val="000000"/>
          <w:sz w:val="28"/>
          <w:szCs w:val="28"/>
        </w:rPr>
        <w:t>精神，准确领会把握思想精髓和核心要义，自觉用习近平新时代中国特色社会主义思想武装头脑，</w:t>
      </w:r>
      <w:r>
        <w:rPr>
          <w:rFonts w:hint="eastAsia" w:ascii="Times New Roman" w:hAnsi="Times New Roman" w:eastAsia="仿宋"/>
          <w:color w:val="000000"/>
          <w:sz w:val="28"/>
          <w:szCs w:val="28"/>
          <w:lang w:val="en-US" w:eastAsia="zh-CN"/>
        </w:rPr>
        <w:t>切实</w:t>
      </w:r>
      <w:r>
        <w:rPr>
          <w:rFonts w:hint="eastAsia" w:ascii="Times New Roman" w:hAnsi="Times New Roman" w:eastAsia="仿宋"/>
          <w:color w:val="000000"/>
          <w:sz w:val="28"/>
          <w:szCs w:val="28"/>
        </w:rPr>
        <w:t>转化为推动</w:t>
      </w:r>
      <w:r>
        <w:rPr>
          <w:rFonts w:hint="eastAsia" w:ascii="Times New Roman" w:hAnsi="Times New Roman" w:eastAsia="仿宋"/>
          <w:color w:val="000000"/>
          <w:sz w:val="28"/>
          <w:szCs w:val="28"/>
          <w:lang w:val="en-US" w:eastAsia="zh-CN"/>
        </w:rPr>
        <w:t>高校</w:t>
      </w:r>
      <w:r>
        <w:rPr>
          <w:rFonts w:hint="eastAsia" w:ascii="Times New Roman" w:hAnsi="Times New Roman" w:eastAsia="仿宋"/>
          <w:color w:val="000000"/>
          <w:sz w:val="28"/>
          <w:szCs w:val="28"/>
        </w:rPr>
        <w:t>各项工作创新发展的强大动力。</w:t>
      </w:r>
    </w:p>
    <w:p>
      <w:pPr>
        <w:ind w:firstLine="562" w:firstLineChars="200"/>
        <w:jc w:val="left"/>
        <w:rPr>
          <w:rFonts w:hint="eastAsia" w:ascii="Times New Roman" w:hAnsi="Times New Roman" w:eastAsia="仿宋"/>
          <w:color w:val="000000"/>
          <w:sz w:val="28"/>
          <w:szCs w:val="28"/>
        </w:rPr>
      </w:pPr>
      <w:r>
        <w:rPr>
          <w:rFonts w:ascii="Times New Roman" w:hAnsi="Times New Roman" w:eastAsia="黑体"/>
          <w:b/>
          <w:bCs/>
          <w:color w:val="000000"/>
          <w:sz w:val="28"/>
          <w:szCs w:val="28"/>
        </w:rPr>
        <w:t>2.</w:t>
      </w:r>
      <w:r>
        <w:rPr>
          <w:rFonts w:hint="eastAsia" w:ascii="Times New Roman" w:hAnsi="Times New Roman" w:eastAsia="黑体"/>
          <w:b/>
          <w:bCs/>
          <w:color w:val="000000"/>
          <w:sz w:val="28"/>
          <w:szCs w:val="28"/>
          <w:lang w:eastAsia="zh-CN"/>
        </w:rPr>
        <w:t>“</w:t>
      </w:r>
      <w:r>
        <w:rPr>
          <w:rFonts w:hint="eastAsia" w:ascii="Times New Roman" w:hAnsi="Times New Roman" w:eastAsia="仿宋"/>
          <w:b/>
          <w:bCs/>
          <w:color w:val="000000"/>
          <w:sz w:val="28"/>
          <w:szCs w:val="28"/>
        </w:rPr>
        <w:t>加强高等学校党风廉政建设 营造风清气正的教育发展氛围</w:t>
      </w:r>
      <w:r>
        <w:rPr>
          <w:rFonts w:hint="eastAsia" w:ascii="Times New Roman" w:hAnsi="Times New Roman" w:eastAsia="黑体"/>
          <w:b/>
          <w:bCs/>
          <w:color w:val="000000"/>
          <w:sz w:val="28"/>
          <w:szCs w:val="28"/>
          <w:lang w:eastAsia="zh-CN"/>
        </w:rPr>
        <w:t>”</w:t>
      </w:r>
      <w:r>
        <w:rPr>
          <w:rFonts w:hint="eastAsia" w:ascii="Times New Roman" w:hAnsi="Times New Roman" w:eastAsia="仿宋"/>
          <w:b/>
          <w:bCs/>
          <w:color w:val="000000"/>
          <w:sz w:val="28"/>
          <w:szCs w:val="28"/>
          <w:lang w:val="en-US" w:eastAsia="zh-CN"/>
        </w:rPr>
        <w:t>专题网络培训</w:t>
      </w:r>
      <w:r>
        <w:rPr>
          <w:rFonts w:hint="eastAsia" w:ascii="Times New Roman" w:hAnsi="Times New Roman" w:eastAsia="仿宋"/>
          <w:b/>
          <w:bCs/>
          <w:color w:val="000000"/>
          <w:sz w:val="28"/>
          <w:szCs w:val="28"/>
        </w:rPr>
        <w:t>。</w:t>
      </w:r>
      <w:r>
        <w:rPr>
          <w:rFonts w:hint="eastAsia" w:ascii="Times New Roman" w:hAnsi="Times New Roman" w:eastAsia="仿宋"/>
          <w:color w:val="000000"/>
          <w:sz w:val="28"/>
          <w:szCs w:val="28"/>
        </w:rPr>
        <w:t>学员对象为高校校领导、院（部）党政负责人、职能部门负责人、校纪委委员、纪检、监察、审计相关人员，启动时间为2018年3月，培训时长3个月。该培训旨在坚定不移把全面从严治党引向深入，以习近平新时代中国特色社会主义思想为指导，贯彻落实党的十九大、中央纪委二次全会全面从严治党部署，以党的政治建设为统领，持之以恒正风肃纪，深入推进高校反腐败斗争，不断增强“四个意识”、坚定“四个自信”，营造风清气正的良好政治生态和育人环境，为加快教育现代化、建设教育强国，办好人民满意的教育提供坚强保证。</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黑体"/>
          <w:b/>
          <w:bCs/>
          <w:color w:val="000000"/>
          <w:sz w:val="28"/>
          <w:szCs w:val="28"/>
        </w:rPr>
        <w:t>3.</w:t>
      </w:r>
      <w:r>
        <w:rPr>
          <w:rFonts w:hint="eastAsia" w:ascii="Times New Roman" w:hAnsi="Times New Roman" w:eastAsia="仿宋"/>
          <w:b/>
          <w:color w:val="000000"/>
          <w:sz w:val="28"/>
          <w:szCs w:val="28"/>
        </w:rPr>
        <w:t>第二期高校党务工作者能力提升专题网络培训。</w:t>
      </w:r>
      <w:r>
        <w:rPr>
          <w:rFonts w:hint="eastAsia" w:ascii="Times New Roman" w:hAnsi="Times New Roman" w:eastAsia="仿宋"/>
          <w:color w:val="000000"/>
          <w:sz w:val="28"/>
          <w:szCs w:val="28"/>
        </w:rPr>
        <w:t>学员对象为高校各二级党组织书记（副书记）、党支部书记等党务工作者（含专任教师），启动时间为2018年4月，培训时长3个月。该培训旨在进一步引导党务干部明确工作职责，精准把握党组织工作规范，提高政治理论素养，增强政治意识和组织观念，着力培养一支讲党性、重品行、作表率，团结带领党员干部干事创业的党务干部队伍，充分发挥基层党组织的战斗堡垒作用和党员的先锋模范作用，为推进高等教育事业发展提供坚强的组织保障。</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4.2018年全国大学生积极分子、发展对象、预备党员、党员网络培训。</w:t>
      </w:r>
      <w:r>
        <w:rPr>
          <w:rFonts w:hint="eastAsia" w:ascii="Times New Roman" w:hAnsi="Times New Roman" w:eastAsia="仿宋"/>
          <w:color w:val="000000"/>
          <w:sz w:val="28"/>
          <w:szCs w:val="28"/>
        </w:rPr>
        <w:t>启动时间为2018年3月，培训时长2个月。该培训旨在深入学习贯彻习近平新时代中国特色社会主义思想</w:t>
      </w:r>
      <w:r>
        <w:rPr>
          <w:rFonts w:hint="eastAsia" w:ascii="Times New Roman" w:hAnsi="Times New Roman" w:eastAsia="仿宋"/>
          <w:color w:val="000000"/>
          <w:sz w:val="28"/>
          <w:szCs w:val="28"/>
          <w:lang w:val="en-US" w:eastAsia="zh-CN"/>
        </w:rPr>
        <w:t>和</w:t>
      </w:r>
      <w:r>
        <w:rPr>
          <w:rFonts w:hint="eastAsia" w:ascii="Times New Roman" w:hAnsi="Times New Roman" w:eastAsia="仿宋"/>
          <w:color w:val="000000"/>
          <w:sz w:val="28"/>
          <w:szCs w:val="28"/>
        </w:rPr>
        <w:t>党的十九大精神，认真学习新党章、党史、党规党纪和党的理论，加强党性教育，明确党员权利和义务，使入党积极分子、预备党员、发展对象端正入党动机，尽快具备成为合格党员的条件；提高党员的思想水平、政治觉悟、道德品质、文化素养，明确党员意识、提高党性修养，充分发挥参训学员在思想政治教育中的骨干带头作用和先锋模范作用。</w:t>
      </w:r>
    </w:p>
    <w:p>
      <w:pPr>
        <w:numPr>
          <w:ilvl w:val="0"/>
          <w:numId w:val="1"/>
        </w:numPr>
        <w:spacing w:before="156" w:beforeLines="50" w:after="156" w:afterLines="5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高校思想政治工作培训</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5.第一期高校思想政治</w:t>
      </w:r>
      <w:r>
        <w:rPr>
          <w:rFonts w:hint="eastAsia" w:ascii="Times New Roman" w:hAnsi="Times New Roman" w:eastAsia="仿宋"/>
          <w:b/>
          <w:bCs/>
          <w:color w:val="000000"/>
          <w:sz w:val="28"/>
          <w:szCs w:val="28"/>
          <w:lang w:val="en-US" w:eastAsia="zh-CN"/>
        </w:rPr>
        <w:t>理论</w:t>
      </w:r>
      <w:r>
        <w:rPr>
          <w:rFonts w:hint="eastAsia" w:ascii="Times New Roman" w:hAnsi="Times New Roman" w:eastAsia="仿宋"/>
          <w:b/>
          <w:bCs/>
          <w:color w:val="000000"/>
          <w:sz w:val="28"/>
          <w:szCs w:val="28"/>
        </w:rPr>
        <w:t>课教师专题网络培训。</w:t>
      </w:r>
      <w:r>
        <w:rPr>
          <w:rFonts w:hint="eastAsia" w:ascii="Times New Roman" w:hAnsi="Times New Roman" w:eastAsia="仿宋"/>
          <w:color w:val="000000"/>
          <w:sz w:val="28"/>
          <w:szCs w:val="28"/>
        </w:rPr>
        <w:t>学员对象为高校思政课教师，启动时间为2018年4月，培训时长3个月。该培训旨在深入贯彻落实全国高校思想政治工作会议精神和中共中央、国务院《关于加强和改进新形势下高校思想政治工作的意见》，继续打好提高思政课质量和水平攻坚战，进一步加强“师资攻坚”，努力建设一支高素质思政课教师队伍，全面推动习近平新时代中国特色社会主义思想进教材进课堂进头脑。培训内容包括习近平新时代中国特色社会主义思想解读、师德师风建设、专业素养提升、教学能力提高、经典著作导读等模块，培训形式包括专题报告、专家讲座、微课程、直播课堂、班级研讨、研修成果等。</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6.第二期普通高等学校团学工作专题网络培训。</w:t>
      </w:r>
      <w:r>
        <w:rPr>
          <w:rFonts w:hint="eastAsia" w:ascii="Times New Roman" w:hAnsi="Times New Roman" w:eastAsia="仿宋"/>
          <w:color w:val="000000"/>
          <w:sz w:val="28"/>
          <w:szCs w:val="28"/>
        </w:rPr>
        <w:t>学员对象为团委书记、团委相关职能部门或直属学生组织的相关指导教师和大学生团学骨干</w:t>
      </w:r>
      <w:r>
        <w:rPr>
          <w:rFonts w:hint="eastAsia" w:ascii="Times New Roman" w:hAnsi="Times New Roman" w:eastAsia="仿宋"/>
          <w:color w:val="000000"/>
          <w:sz w:val="28"/>
          <w:szCs w:val="28"/>
          <w:lang w:eastAsia="zh-CN"/>
        </w:rPr>
        <w:t>、</w:t>
      </w:r>
      <w:r>
        <w:rPr>
          <w:rFonts w:hint="eastAsia" w:ascii="Times New Roman" w:hAnsi="Times New Roman" w:eastAsia="仿宋"/>
          <w:color w:val="000000"/>
          <w:sz w:val="28"/>
          <w:szCs w:val="28"/>
          <w:lang w:val="en-US" w:eastAsia="zh-CN"/>
        </w:rPr>
        <w:t>团员</w:t>
      </w:r>
      <w:r>
        <w:rPr>
          <w:rFonts w:hint="eastAsia" w:ascii="Times New Roman" w:hAnsi="Times New Roman" w:eastAsia="仿宋"/>
          <w:color w:val="000000"/>
          <w:sz w:val="28"/>
          <w:szCs w:val="28"/>
        </w:rPr>
        <w:t>，培训时长3个月，计划2018年4月启动。该培训旨在深入学习</w:t>
      </w:r>
      <w:r>
        <w:rPr>
          <w:rFonts w:hint="eastAsia" w:ascii="Times New Roman" w:hAnsi="Times New Roman" w:eastAsia="仿宋"/>
          <w:color w:val="000000"/>
          <w:sz w:val="28"/>
          <w:szCs w:val="28"/>
          <w:lang w:val="en-US" w:eastAsia="zh-CN"/>
        </w:rPr>
        <w:t>党的</w:t>
      </w:r>
      <w:r>
        <w:rPr>
          <w:rFonts w:hint="eastAsia" w:ascii="Times New Roman" w:hAnsi="Times New Roman" w:eastAsia="仿宋"/>
          <w:color w:val="000000"/>
          <w:sz w:val="28"/>
          <w:szCs w:val="28"/>
        </w:rPr>
        <w:t>十九大精神和习近平总书记青年工作思想以及中央党的群团工作会议精神，贯彻落实《中长期青年发展规划（2016－2025年）》《关于加强和改进新形势下高校共青团思想政治工作的意见》（中青联发〔2017〕10号）和《关于新形势下推进从严治团的规定》（中青发〔2017〕3号）文件要求，提升团学干部的理论修养和业务能力。</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7.第六期高校辅导员网络培训。</w:t>
      </w:r>
      <w:r>
        <w:rPr>
          <w:rFonts w:hint="eastAsia" w:ascii="Times New Roman" w:hAnsi="Times New Roman" w:eastAsia="仿宋"/>
          <w:color w:val="000000"/>
          <w:sz w:val="28"/>
          <w:szCs w:val="28"/>
        </w:rPr>
        <w:t>学员对象为高校院系党委副书记、学工组长、团委、辅导员（班主任）等，本培训为第六期，分为岗前培训班和在职提高班，启动时间2018年9月，培训时长3个月。该培训以“大学生心理健康教育”为主题，旨在深入学习贯彻</w:t>
      </w:r>
      <w:r>
        <w:rPr>
          <w:rFonts w:hint="eastAsia" w:ascii="Times New Roman" w:hAnsi="Times New Roman" w:eastAsia="仿宋"/>
          <w:color w:val="000000"/>
          <w:sz w:val="28"/>
          <w:szCs w:val="28"/>
          <w:lang w:val="en-US" w:eastAsia="zh-CN"/>
        </w:rPr>
        <w:t>习近平新时代中国特色社会主义思想和</w:t>
      </w:r>
      <w:r>
        <w:rPr>
          <w:rFonts w:hint="eastAsia" w:ascii="Times New Roman" w:hAnsi="Times New Roman" w:eastAsia="仿宋"/>
          <w:color w:val="000000"/>
          <w:sz w:val="28"/>
          <w:szCs w:val="28"/>
        </w:rPr>
        <w:t>党的十九大精神，全面贯彻落实全国高校思想政治工作会议精神，切实提升辅导员的专业水平和职业能力。培训内容重点围绕大学生常见心理问题的识别与干预，同时包含思想理论教育和价值引领、党团和班级建设、网络思想政治教育、职业规划与就业指导等。培训采用专题报告、直播课堂、班级研讨、在线考试等形式。</w:t>
      </w:r>
    </w:p>
    <w:p>
      <w:pPr>
        <w:numPr>
          <w:ilvl w:val="0"/>
          <w:numId w:val="1"/>
        </w:numPr>
        <w:spacing w:before="156" w:beforeLines="50" w:after="156" w:afterLines="5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岗位任职与提高培训</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8.高校管理干部业务和能力素质提升专题网络培训。</w:t>
      </w:r>
      <w:r>
        <w:rPr>
          <w:rFonts w:hint="eastAsia" w:ascii="Times New Roman" w:hAnsi="Times New Roman" w:eastAsia="仿宋"/>
          <w:color w:val="000000"/>
          <w:sz w:val="28"/>
          <w:szCs w:val="28"/>
        </w:rPr>
        <w:t>学员对象为高校科级（含副职）以上干部、教研室主任，启动时间为2018年3月，培训时长3个月。该培训旨在深入学习贯彻习近平新时代中国特色社会主义思想和党的十九大精神，</w:t>
      </w:r>
      <w:r>
        <w:rPr>
          <w:rFonts w:hint="eastAsia" w:ascii="Times New Roman" w:hAnsi="Times New Roman" w:eastAsia="仿宋"/>
          <w:color w:val="000000"/>
          <w:sz w:val="28"/>
          <w:szCs w:val="28"/>
          <w:lang w:val="en-US" w:eastAsia="zh-CN"/>
        </w:rPr>
        <w:t>深化</w:t>
      </w:r>
      <w:r>
        <w:rPr>
          <w:rFonts w:hint="eastAsia" w:ascii="Times New Roman" w:hAnsi="Times New Roman" w:eastAsia="仿宋"/>
          <w:color w:val="000000"/>
          <w:sz w:val="28"/>
          <w:szCs w:val="28"/>
        </w:rPr>
        <w:t>高校干部对</w:t>
      </w:r>
      <w:r>
        <w:rPr>
          <w:rFonts w:hint="eastAsia" w:ascii="Times New Roman" w:hAnsi="Times New Roman" w:eastAsia="仿宋"/>
          <w:color w:val="000000"/>
          <w:sz w:val="28"/>
          <w:szCs w:val="28"/>
          <w:lang w:val="en-US" w:eastAsia="zh-CN"/>
        </w:rPr>
        <w:t>党的</w:t>
      </w:r>
      <w:r>
        <w:rPr>
          <w:rFonts w:hint="eastAsia" w:ascii="Times New Roman" w:hAnsi="Times New Roman" w:eastAsia="仿宋"/>
          <w:color w:val="000000"/>
          <w:sz w:val="28"/>
          <w:szCs w:val="28"/>
        </w:rPr>
        <w:t>教育方针政策的理解，提高高校干部履行本职工作</w:t>
      </w:r>
      <w:r>
        <w:rPr>
          <w:rFonts w:hint="eastAsia" w:ascii="Times New Roman" w:hAnsi="Times New Roman" w:eastAsia="仿宋"/>
          <w:color w:val="000000"/>
          <w:sz w:val="28"/>
          <w:szCs w:val="28"/>
          <w:lang w:eastAsia="zh-CN"/>
        </w:rPr>
        <w:t>、</w:t>
      </w:r>
      <w:r>
        <w:rPr>
          <w:rFonts w:hint="eastAsia" w:ascii="Times New Roman" w:hAnsi="Times New Roman" w:eastAsia="仿宋"/>
          <w:color w:val="000000"/>
          <w:sz w:val="28"/>
          <w:szCs w:val="28"/>
        </w:rPr>
        <w:t>攻坚克难</w:t>
      </w:r>
      <w:r>
        <w:rPr>
          <w:rFonts w:hint="eastAsia" w:ascii="Times New Roman" w:hAnsi="Times New Roman" w:eastAsia="仿宋"/>
          <w:color w:val="000000"/>
          <w:sz w:val="28"/>
          <w:szCs w:val="28"/>
          <w:lang w:eastAsia="zh-CN"/>
        </w:rPr>
        <w:t>、</w:t>
      </w:r>
      <w:r>
        <w:rPr>
          <w:rFonts w:hint="eastAsia" w:ascii="Times New Roman" w:hAnsi="Times New Roman" w:eastAsia="仿宋"/>
          <w:color w:val="000000"/>
          <w:sz w:val="28"/>
          <w:szCs w:val="28"/>
        </w:rPr>
        <w:t>服务教育改革发展的</w:t>
      </w:r>
      <w:r>
        <w:rPr>
          <w:rFonts w:hint="eastAsia" w:ascii="Times New Roman" w:hAnsi="Times New Roman" w:eastAsia="仿宋"/>
          <w:color w:val="000000"/>
          <w:sz w:val="28"/>
          <w:szCs w:val="28"/>
          <w:lang w:val="en-US" w:eastAsia="zh-CN"/>
        </w:rPr>
        <w:t>专业本领</w:t>
      </w:r>
      <w:r>
        <w:rPr>
          <w:rFonts w:hint="eastAsia" w:ascii="Times New Roman" w:hAnsi="Times New Roman" w:eastAsia="仿宋"/>
          <w:color w:val="000000"/>
          <w:sz w:val="28"/>
          <w:szCs w:val="28"/>
        </w:rPr>
        <w:t>。</w:t>
      </w:r>
      <w:r>
        <w:rPr>
          <w:rFonts w:hint="eastAsia" w:ascii="Times New Roman" w:hAnsi="Times New Roman" w:eastAsia="仿宋"/>
          <w:color w:val="000000"/>
          <w:sz w:val="28"/>
          <w:szCs w:val="28"/>
          <w:lang w:val="en-US" w:eastAsia="zh-CN"/>
        </w:rPr>
        <w:t>该培训</w:t>
      </w:r>
      <w:r>
        <w:rPr>
          <w:rFonts w:hint="eastAsia" w:ascii="Times New Roman" w:hAnsi="Times New Roman" w:eastAsia="仿宋"/>
          <w:color w:val="000000"/>
          <w:sz w:val="28"/>
          <w:szCs w:val="28"/>
        </w:rPr>
        <w:t>将干部的普遍性要求与不同类别、层次、岗位的特点结合起来，</w:t>
      </w:r>
      <w:r>
        <w:rPr>
          <w:rFonts w:hint="eastAsia" w:ascii="Times New Roman" w:hAnsi="Times New Roman" w:eastAsia="仿宋"/>
          <w:color w:val="000000"/>
          <w:sz w:val="28"/>
          <w:szCs w:val="28"/>
          <w:lang w:val="en-US" w:eastAsia="zh-CN"/>
        </w:rPr>
        <w:t>在</w:t>
      </w:r>
      <w:r>
        <w:rPr>
          <w:rFonts w:hint="eastAsia" w:ascii="Times New Roman" w:hAnsi="Times New Roman" w:eastAsia="仿宋"/>
          <w:color w:val="000000"/>
          <w:sz w:val="28"/>
          <w:szCs w:val="28"/>
        </w:rPr>
        <w:t>通识必修课</w:t>
      </w:r>
      <w:r>
        <w:rPr>
          <w:rFonts w:hint="eastAsia" w:ascii="Times New Roman" w:hAnsi="Times New Roman" w:eastAsia="仿宋"/>
          <w:color w:val="000000"/>
          <w:sz w:val="28"/>
          <w:szCs w:val="28"/>
          <w:lang w:val="en-US" w:eastAsia="zh-CN"/>
        </w:rPr>
        <w:t>的基础之上</w:t>
      </w:r>
      <w:r>
        <w:rPr>
          <w:rFonts w:hint="eastAsia" w:ascii="Times New Roman" w:hAnsi="Times New Roman" w:eastAsia="仿宋"/>
          <w:color w:val="000000"/>
          <w:sz w:val="28"/>
          <w:szCs w:val="28"/>
        </w:rPr>
        <w:t>，</w:t>
      </w:r>
      <w:r>
        <w:rPr>
          <w:rFonts w:hint="eastAsia" w:ascii="Times New Roman" w:hAnsi="Times New Roman" w:eastAsia="仿宋"/>
          <w:color w:val="000000"/>
          <w:sz w:val="28"/>
          <w:szCs w:val="28"/>
          <w:lang w:val="en-US" w:eastAsia="zh-CN"/>
        </w:rPr>
        <w:t>分别设置</w:t>
      </w:r>
      <w:r>
        <w:rPr>
          <w:rFonts w:hint="eastAsia" w:ascii="Times New Roman" w:hAnsi="Times New Roman" w:eastAsia="仿宋"/>
          <w:color w:val="000000"/>
          <w:sz w:val="28"/>
          <w:szCs w:val="28"/>
        </w:rPr>
        <w:t>教学管理、学生管理、科研管理和后勤管理等</w:t>
      </w:r>
      <w:r>
        <w:rPr>
          <w:rFonts w:hint="eastAsia" w:ascii="Times New Roman" w:hAnsi="Times New Roman" w:eastAsia="仿宋"/>
          <w:color w:val="000000"/>
          <w:sz w:val="28"/>
          <w:szCs w:val="28"/>
          <w:lang w:val="en-US" w:eastAsia="zh-CN"/>
        </w:rPr>
        <w:t>类别的</w:t>
      </w:r>
      <w:r>
        <w:rPr>
          <w:rFonts w:hint="eastAsia" w:ascii="Times New Roman" w:hAnsi="Times New Roman" w:eastAsia="仿宋"/>
          <w:color w:val="000000"/>
          <w:sz w:val="28"/>
          <w:szCs w:val="28"/>
        </w:rPr>
        <w:t>选修课程，学员可结合自身的学习需求进行选择，提高培训的针对性和实效性。</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9.高校依法治校能力提升专题网络培训。</w:t>
      </w:r>
      <w:r>
        <w:rPr>
          <w:rFonts w:hint="eastAsia" w:ascii="Times New Roman" w:hAnsi="Times New Roman" w:eastAsia="仿宋"/>
          <w:color w:val="000000"/>
          <w:sz w:val="28"/>
          <w:szCs w:val="28"/>
        </w:rPr>
        <w:t>学员对象为高校行政管理人员（含高校领导、发展规划、学工部、教务处、法务等职能部门、院系领导等），启动时间为2018年9月，培训时长3个月。该培训旨在深入学习贯彻习近平新时代中国特色社会主义思想和党的十九大精神，促进高等学校形成尊法学法守法用法的氛围，切实提升高校管理干部运用法治方式办学治校能力水平。培训内容包括宪法行政法基础知识，教育法、高等教育法、教师法等教育法律法规，现代大学制度理论与实践，高校章程建设、学校行政管理实践中的法律实务及法律问题分析等。</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10.高校新入职教师专题网络培训。</w:t>
      </w:r>
      <w:r>
        <w:rPr>
          <w:rFonts w:hint="eastAsia" w:ascii="Times New Roman" w:hAnsi="Times New Roman" w:eastAsia="仿宋"/>
          <w:color w:val="000000"/>
          <w:sz w:val="28"/>
          <w:szCs w:val="28"/>
        </w:rPr>
        <w:t>学员对象为高校近两年新入职教师，启动时间为2018年</w:t>
      </w:r>
      <w:r>
        <w:rPr>
          <w:rFonts w:hint="eastAsia" w:ascii="Times New Roman" w:hAnsi="Times New Roman" w:eastAsia="仿宋"/>
          <w:color w:val="000000"/>
          <w:sz w:val="28"/>
          <w:szCs w:val="28"/>
          <w:lang w:val="en-US" w:eastAsia="zh-CN"/>
        </w:rPr>
        <w:t>4</w:t>
      </w:r>
      <w:r>
        <w:rPr>
          <w:rFonts w:hint="eastAsia" w:ascii="Times New Roman" w:hAnsi="Times New Roman" w:eastAsia="仿宋"/>
          <w:color w:val="000000"/>
          <w:sz w:val="28"/>
          <w:szCs w:val="28"/>
        </w:rPr>
        <w:t>月，培训时长3个月。该培训基于高校教学改革需要与初任教师岗位要求，围绕“专业理念与规范”“教学理论与技能”“信息技术与运用”等三个模块进行设计，突出教育教学基础能力与经验，促进新入职教师全面发展。</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11.高校教师专业发展网络培训。</w:t>
      </w:r>
      <w:r>
        <w:rPr>
          <w:rFonts w:hint="eastAsia" w:ascii="Times New Roman" w:hAnsi="Times New Roman" w:eastAsia="仿宋"/>
          <w:color w:val="000000"/>
          <w:sz w:val="28"/>
          <w:szCs w:val="28"/>
        </w:rPr>
        <w:t>学员对象为高校专任教师，启动时间为2018年</w:t>
      </w:r>
      <w:r>
        <w:rPr>
          <w:rFonts w:hint="eastAsia" w:ascii="Times New Roman" w:hAnsi="Times New Roman" w:eastAsia="仿宋"/>
          <w:color w:val="000000"/>
          <w:sz w:val="28"/>
          <w:szCs w:val="28"/>
          <w:lang w:val="en-US" w:eastAsia="zh-CN"/>
        </w:rPr>
        <w:t>5</w:t>
      </w:r>
      <w:r>
        <w:rPr>
          <w:rFonts w:hint="eastAsia" w:ascii="Times New Roman" w:hAnsi="Times New Roman" w:eastAsia="仿宋"/>
          <w:color w:val="000000"/>
          <w:sz w:val="28"/>
          <w:szCs w:val="28"/>
        </w:rPr>
        <w:t>月，培训时长1-3个月。该培训基于新形势下高等教育教学改革发展需要，旨在助力高校教师在教育教学工作中取得长足进步。培训内容分为“信息化教学基础技能培养”“教学基础能力培养”“科研能力提升”“心理健康指导”等四个专项模块，可单个模块培训，也可多个模块自由组合，参训单位结合实际需求自主选择模块和培训时长。</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12.第六期高校师德网络培训。</w:t>
      </w:r>
      <w:r>
        <w:rPr>
          <w:rFonts w:hint="eastAsia" w:ascii="Times New Roman" w:hAnsi="Times New Roman" w:eastAsia="仿宋"/>
          <w:color w:val="000000"/>
          <w:sz w:val="28"/>
          <w:szCs w:val="28"/>
        </w:rPr>
        <w:t>学员对象为高校广大教职工，启动时间为2018年9月，培训时长分别为3个月和12个月。该培训根据《全面深化新时代教师队伍建设改革的意见》文件要求，围绕“政治素养与职业理想”“师德建设与先进典型”“学术规范与法治素养”“心理健康与职业幸福”等四个模块进行设计，引导广大教师深入学习领会习近平新时代中国特色社会主义思想和党的十九大精神，深刻认识立德树人、教书育人的教育使命与职业责任，当好学生引路人。</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13.第二期职业院校教师素质提升网络培训班。</w:t>
      </w:r>
      <w:r>
        <w:rPr>
          <w:rFonts w:hint="eastAsia" w:ascii="Times New Roman" w:hAnsi="Times New Roman" w:eastAsia="仿宋"/>
          <w:color w:val="000000"/>
          <w:sz w:val="28"/>
          <w:szCs w:val="28"/>
        </w:rPr>
        <w:t>学员对象为职业院校（中职、高职）领导干部和教师，培训时长3个月，启动时间为2018年7月。该培训以“通识培训+专家引领”模式开展，通识培训侧重从宏观层面围绕立德树人、工匠精神、信息技术应用和教育教学知识等内容展开培训，学员根据学时要求自主选择视频课程学习；完成通识培训要求后，学员进入专家引领阶段学习，此阶段以专家工作室的形式进行，侧重从微观层面围绕职业院校一体化教师课程开发与实施等内容展开培训，有效促进职业院校教师整体素质的提升。</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14.第一期职业院校教师信息化素养提升网络培训。</w:t>
      </w:r>
      <w:r>
        <w:rPr>
          <w:rFonts w:hint="eastAsia" w:ascii="Times New Roman" w:hAnsi="Times New Roman" w:eastAsia="仿宋"/>
          <w:color w:val="000000"/>
          <w:sz w:val="28"/>
          <w:szCs w:val="28"/>
        </w:rPr>
        <w:t>学员对象为职业院校（中职、高职）专兼职教师，培训时长3个月，启动时间为2018年</w:t>
      </w:r>
      <w:r>
        <w:rPr>
          <w:rFonts w:hint="eastAsia" w:ascii="Times New Roman" w:hAnsi="Times New Roman" w:eastAsia="仿宋"/>
          <w:color w:val="000000"/>
          <w:sz w:val="28"/>
          <w:szCs w:val="28"/>
          <w:lang w:val="en-US" w:eastAsia="zh-CN"/>
        </w:rPr>
        <w:t>9</w:t>
      </w:r>
      <w:r>
        <w:rPr>
          <w:rFonts w:hint="eastAsia" w:ascii="Times New Roman" w:hAnsi="Times New Roman" w:eastAsia="仿宋"/>
          <w:color w:val="000000"/>
          <w:sz w:val="28"/>
          <w:szCs w:val="28"/>
        </w:rPr>
        <w:t>月。培训内容以信息技术与教学整合、信息技术与专业整合、信息技术与课程整合为导向，分别从“信息化理论与教学素养”“信息化教研与课程改革”“信息化技术与专业应用”三个维度进行设计，着力打造一批专业化的职业院校信息化教师队伍。</w:t>
      </w:r>
    </w:p>
    <w:p>
      <w:pPr>
        <w:numPr>
          <w:ilvl w:val="0"/>
          <w:numId w:val="1"/>
        </w:numPr>
        <w:spacing w:before="156" w:beforeLines="50" w:after="156" w:afterLines="5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年度选学培训</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15.年度选学培训项目。</w:t>
      </w:r>
      <w:r>
        <w:rPr>
          <w:rFonts w:hint="eastAsia" w:ascii="Times New Roman" w:hAnsi="Times New Roman" w:eastAsia="仿宋"/>
          <w:color w:val="000000"/>
          <w:sz w:val="28"/>
          <w:szCs w:val="28"/>
        </w:rPr>
        <w:t>面向教育行政部门、普通高等院校、高等职业院校、民办院校的管理干部、教职员工及大学生等开展培训，培训学习时长为1年，具体开班时间由参训单位与国家教育行政学院协商确定。本培训项目将以教育部重点工作为核心，围绕国家教育行政学院培训工作的总体部署，按照中国教育干部网络学院年度工作计划安排，以满足高校各级各类的培训需求为重心，解析高教改革发展重点难点问题，为高校提供多形式、多类别的培训内容。</w:t>
      </w:r>
    </w:p>
    <w:p>
      <w:pPr>
        <w:numPr>
          <w:ilvl w:val="0"/>
          <w:numId w:val="1"/>
        </w:numPr>
        <w:spacing w:before="156" w:beforeLines="50" w:after="156" w:afterLines="5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定制化培训</w:t>
      </w:r>
    </w:p>
    <w:p>
      <w:pPr>
        <w:ind w:firstLine="562" w:firstLineChars="200"/>
        <w:jc w:val="left"/>
        <w:rPr>
          <w:rFonts w:hint="eastAsia" w:ascii="Times New Roman" w:hAnsi="Times New Roman" w:eastAsia="仿宋"/>
          <w:color w:val="000000"/>
          <w:sz w:val="28"/>
          <w:szCs w:val="28"/>
        </w:rPr>
      </w:pPr>
      <w:r>
        <w:rPr>
          <w:rFonts w:hint="eastAsia" w:ascii="Times New Roman" w:hAnsi="Times New Roman" w:eastAsia="仿宋"/>
          <w:b/>
          <w:bCs/>
          <w:color w:val="000000"/>
          <w:sz w:val="28"/>
          <w:szCs w:val="28"/>
        </w:rPr>
        <w:t>16.定制化（混合式）培训项目。</w:t>
      </w:r>
      <w:r>
        <w:rPr>
          <w:rFonts w:hint="eastAsia" w:ascii="Times New Roman" w:hAnsi="Times New Roman" w:eastAsia="仿宋"/>
          <w:color w:val="000000"/>
          <w:sz w:val="28"/>
          <w:szCs w:val="28"/>
        </w:rPr>
        <w:t>面向教育行政部门、普通高等院校、高等职业院校、民办院校的管理干部、教职员工及大学生等开展委托定制化培训，具体培训形式、学习时长和具体开班时间由参训单位与国家教育行政学院协商确定。本培训项目根据参训对象和合作单位的特点和需求设计培训方案，聚焦实际工作要点、办学特色或教育教学中的问题，可采用网络培训、线上线下混合式培训或面授培训的形式开展培训，使高校干部、教师及大学生群体在专家引领、同伴互助、个体反思实践中不断提高自身素养与能力，有效开展教育实践探索，实现专业发展。计划举办高校干部培训管理者培训班、高校学生工作队伍能力提升培训班等面授培训班，具体事宜另行通知。</w:t>
      </w:r>
    </w:p>
    <w:p>
      <w:pPr>
        <w:wordWrap/>
        <w:jc w:val="left"/>
        <w:rPr>
          <w:rFonts w:hint="eastAsia" w:ascii="Times New Roman" w:hAnsi="Times New Roman" w:eastAsia="仿宋" w:cs="仿宋"/>
          <w:sz w:val="28"/>
          <w:szCs w:val="28"/>
          <w:lang w:val="en-US" w:eastAsia="zh-CN"/>
        </w:rPr>
      </w:pPr>
    </w:p>
    <w:p>
      <w:pPr>
        <w:pStyle w:val="11"/>
        <w:ind w:firstLine="0" w:firstLineChars="0"/>
        <w:rPr>
          <w:rFonts w:hint="eastAsia" w:ascii="Times New Roman" w:hAnsi="Times New Roman" w:eastAsia="仿宋" w:cs="仿宋"/>
          <w:sz w:val="30"/>
          <w:szCs w:val="30"/>
        </w:rPr>
      </w:pPr>
    </w:p>
    <w:sectPr>
      <w:pgSz w:w="11906" w:h="16838"/>
      <w:pgMar w:top="1440" w:right="1797" w:bottom="1440" w:left="179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Black">
    <w:panose1 w:val="020B0A04020102020204"/>
    <w:charset w:val="00"/>
    <w:family w:val="swiss"/>
    <w:pitch w:val="default"/>
    <w:sig w:usb0="00000287" w:usb1="00000000" w:usb2="00000000" w:usb3="00000000" w:csb0="2000009F" w:csb1="DFD7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jc w:val="center"/>
                          </w:pPr>
                          <w:r>
                            <w:fldChar w:fldCharType="begin"/>
                          </w:r>
                          <w:r>
                            <w:instrText xml:space="preserve"> PAGE   \* MERGEFORMAT </w:instrText>
                          </w:r>
                          <w:r>
                            <w:fldChar w:fldCharType="separate"/>
                          </w:r>
                          <w:r>
                            <w:t>6</w:t>
                          </w:r>
                          <w: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EYulq6AQAAWA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blokoK9S7UmPjgMDUOX2FI2aM/oDMR&#10;H6Q36YuUCMZR6/1JXzFEwtOjalFVJYY4xqYL4hSvz50P8VaAIcloqMcBZl3Z7nuIx9QpJVWzcKO0&#10;Rj+rtSU9op5XF+f5xSmE6NpikcTi2G2y4rAeRgpraPfIrMctaKjFNaVEf7MoclqYyfCTsZ6MrfNq&#10;0+WNSvWDu9pGbCd3mSocYcfCOL7Mc1y1tB9v7znr9YdYvQ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oaYJL0wAAAAUBAAAPAAAAAAAAAAEAIAAAACIAAABkcnMvZG93bnJldi54bWxQSwECFAAUAAAA&#10;CACHTuJAcRi6WroBAABYAwAADgAAAAAAAAABACAAAAAiAQAAZHJzL2Uyb0RvYy54bWxQSwUGAAAA&#10;AAYABgBZAQAATgUAAAAA&#10;">
              <v:fill on="f" focussize="0,0"/>
              <v:stroke on="f" weight="1.25pt"/>
              <v:imagedata o:title=""/>
              <o:lock v:ext="edit" aspectratio="f"/>
              <v:textbox inset="0mm,0mm,0mm,0mm" style="mso-fit-shape-to-text:t;">
                <w:txbxContent>
                  <w:p>
                    <w:pPr>
                      <w:pStyle w:val="4"/>
                      <w:jc w:val="center"/>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oaYJL0wAAAAUBAAAPAAAAAAAAAAEAIAAAACIAAABkcnMvZG93bnJldi54bWxQSwECFAAUAAAA&#10;CACHTuJAVT5eSroBAABYAwAADgAAAAAAAAABACAAAAAiAQAAZHJzL2Uyb0RvYy54bWxQSwUGAAAA&#10;AAYABgBZAQAATgUAAAAA&#10;">
              <v:fill on="f" focussize="0,0"/>
              <v:stroke on="f" weight="1.25pt"/>
              <v:imagedata o:title=""/>
              <o:lock v:ext="edit" aspectratio="f"/>
              <v:textbox inset="0mm,0mm,0mm,0mm" style="mso-fit-shape-to-text:t;">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3B1F7F"/>
    <w:multiLevelType w:val="singleLevel"/>
    <w:tmpl w:val="5A3B1F7F"/>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4DC"/>
    <w:rsid w:val="0001091B"/>
    <w:rsid w:val="00032D0F"/>
    <w:rsid w:val="000668EC"/>
    <w:rsid w:val="000716D3"/>
    <w:rsid w:val="000C4B7C"/>
    <w:rsid w:val="001C7A23"/>
    <w:rsid w:val="00213462"/>
    <w:rsid w:val="00216277"/>
    <w:rsid w:val="002A0362"/>
    <w:rsid w:val="002A0F2B"/>
    <w:rsid w:val="00300DE2"/>
    <w:rsid w:val="00310CA0"/>
    <w:rsid w:val="0033202D"/>
    <w:rsid w:val="0034100C"/>
    <w:rsid w:val="00381D23"/>
    <w:rsid w:val="003A20CC"/>
    <w:rsid w:val="003B1544"/>
    <w:rsid w:val="003B46AD"/>
    <w:rsid w:val="003C24B2"/>
    <w:rsid w:val="00407C85"/>
    <w:rsid w:val="004621C4"/>
    <w:rsid w:val="004944DC"/>
    <w:rsid w:val="00495EE7"/>
    <w:rsid w:val="004A3B02"/>
    <w:rsid w:val="004D478B"/>
    <w:rsid w:val="004F0A09"/>
    <w:rsid w:val="005007C1"/>
    <w:rsid w:val="00504B3C"/>
    <w:rsid w:val="0053707A"/>
    <w:rsid w:val="00540438"/>
    <w:rsid w:val="005715A8"/>
    <w:rsid w:val="005909A3"/>
    <w:rsid w:val="00591D9A"/>
    <w:rsid w:val="005F2938"/>
    <w:rsid w:val="00633EC8"/>
    <w:rsid w:val="00647DB6"/>
    <w:rsid w:val="0065377E"/>
    <w:rsid w:val="006627D7"/>
    <w:rsid w:val="0066700A"/>
    <w:rsid w:val="0068306A"/>
    <w:rsid w:val="006F25A9"/>
    <w:rsid w:val="0070095E"/>
    <w:rsid w:val="00732294"/>
    <w:rsid w:val="00760953"/>
    <w:rsid w:val="0076423D"/>
    <w:rsid w:val="00767831"/>
    <w:rsid w:val="00776F3D"/>
    <w:rsid w:val="00780178"/>
    <w:rsid w:val="007A3121"/>
    <w:rsid w:val="007B316B"/>
    <w:rsid w:val="007C539B"/>
    <w:rsid w:val="00806555"/>
    <w:rsid w:val="00824C1E"/>
    <w:rsid w:val="008732E4"/>
    <w:rsid w:val="00874D2D"/>
    <w:rsid w:val="008B1CE3"/>
    <w:rsid w:val="008B370E"/>
    <w:rsid w:val="008E2DDA"/>
    <w:rsid w:val="008F5E43"/>
    <w:rsid w:val="0093239F"/>
    <w:rsid w:val="00946879"/>
    <w:rsid w:val="00984519"/>
    <w:rsid w:val="009C78BB"/>
    <w:rsid w:val="009C7BF4"/>
    <w:rsid w:val="00A113B3"/>
    <w:rsid w:val="00A144CE"/>
    <w:rsid w:val="00A26411"/>
    <w:rsid w:val="00A46877"/>
    <w:rsid w:val="00A83B9D"/>
    <w:rsid w:val="00AD17E6"/>
    <w:rsid w:val="00AE5E33"/>
    <w:rsid w:val="00AF64CD"/>
    <w:rsid w:val="00B03EB1"/>
    <w:rsid w:val="00B16481"/>
    <w:rsid w:val="00B36D65"/>
    <w:rsid w:val="00B46E1A"/>
    <w:rsid w:val="00B51BC0"/>
    <w:rsid w:val="00B768AD"/>
    <w:rsid w:val="00B91E61"/>
    <w:rsid w:val="00B91FAC"/>
    <w:rsid w:val="00BC3832"/>
    <w:rsid w:val="00BC7700"/>
    <w:rsid w:val="00BE02C8"/>
    <w:rsid w:val="00BE3379"/>
    <w:rsid w:val="00BF1C51"/>
    <w:rsid w:val="00C23C3C"/>
    <w:rsid w:val="00CA5F09"/>
    <w:rsid w:val="00CD113A"/>
    <w:rsid w:val="00CF3E46"/>
    <w:rsid w:val="00CF504D"/>
    <w:rsid w:val="00CF5B3F"/>
    <w:rsid w:val="00CF7647"/>
    <w:rsid w:val="00D16B68"/>
    <w:rsid w:val="00D247DC"/>
    <w:rsid w:val="00D35A7A"/>
    <w:rsid w:val="00D72813"/>
    <w:rsid w:val="00DB0979"/>
    <w:rsid w:val="00E06586"/>
    <w:rsid w:val="00E32A65"/>
    <w:rsid w:val="00E37B23"/>
    <w:rsid w:val="00E71A1E"/>
    <w:rsid w:val="00E74697"/>
    <w:rsid w:val="00E85ED1"/>
    <w:rsid w:val="00EC45B0"/>
    <w:rsid w:val="00F127D0"/>
    <w:rsid w:val="00F43D83"/>
    <w:rsid w:val="00F4733E"/>
    <w:rsid w:val="00F5691F"/>
    <w:rsid w:val="00F63D36"/>
    <w:rsid w:val="00F77DCD"/>
    <w:rsid w:val="015B03BE"/>
    <w:rsid w:val="022455E6"/>
    <w:rsid w:val="02B7435A"/>
    <w:rsid w:val="031C4D47"/>
    <w:rsid w:val="034C60DE"/>
    <w:rsid w:val="03844F01"/>
    <w:rsid w:val="038B5167"/>
    <w:rsid w:val="05687049"/>
    <w:rsid w:val="06492A9E"/>
    <w:rsid w:val="0656147B"/>
    <w:rsid w:val="066B7DA7"/>
    <w:rsid w:val="06877616"/>
    <w:rsid w:val="069B20C2"/>
    <w:rsid w:val="06B065BF"/>
    <w:rsid w:val="06D64B21"/>
    <w:rsid w:val="06E77040"/>
    <w:rsid w:val="06F7792C"/>
    <w:rsid w:val="072161FF"/>
    <w:rsid w:val="07446C23"/>
    <w:rsid w:val="07913822"/>
    <w:rsid w:val="08374C91"/>
    <w:rsid w:val="08CC34F2"/>
    <w:rsid w:val="091F062D"/>
    <w:rsid w:val="098F3CA1"/>
    <w:rsid w:val="0A517CFF"/>
    <w:rsid w:val="0AAB7BE7"/>
    <w:rsid w:val="0B1B5B52"/>
    <w:rsid w:val="0B376E3C"/>
    <w:rsid w:val="0BA36DAD"/>
    <w:rsid w:val="0BEF0B35"/>
    <w:rsid w:val="0C386E42"/>
    <w:rsid w:val="0C3B4116"/>
    <w:rsid w:val="0C877678"/>
    <w:rsid w:val="0CCE1559"/>
    <w:rsid w:val="0D27451E"/>
    <w:rsid w:val="0D3C7369"/>
    <w:rsid w:val="0DA64C09"/>
    <w:rsid w:val="0DD70368"/>
    <w:rsid w:val="0E0B02F8"/>
    <w:rsid w:val="0ECE3879"/>
    <w:rsid w:val="0ED27410"/>
    <w:rsid w:val="0F0C10B9"/>
    <w:rsid w:val="0F1E5098"/>
    <w:rsid w:val="0F3B2762"/>
    <w:rsid w:val="1079442A"/>
    <w:rsid w:val="10A630E2"/>
    <w:rsid w:val="11194CC4"/>
    <w:rsid w:val="114F4155"/>
    <w:rsid w:val="1173570F"/>
    <w:rsid w:val="11DB2777"/>
    <w:rsid w:val="12377C7E"/>
    <w:rsid w:val="1253334E"/>
    <w:rsid w:val="12CF1CFE"/>
    <w:rsid w:val="13A5760D"/>
    <w:rsid w:val="13F65949"/>
    <w:rsid w:val="142B12F5"/>
    <w:rsid w:val="15CA27F6"/>
    <w:rsid w:val="15F36719"/>
    <w:rsid w:val="16C56D30"/>
    <w:rsid w:val="16EE7BE6"/>
    <w:rsid w:val="16F41377"/>
    <w:rsid w:val="1709241A"/>
    <w:rsid w:val="17E62B3A"/>
    <w:rsid w:val="17FC0728"/>
    <w:rsid w:val="185607C7"/>
    <w:rsid w:val="198F4413"/>
    <w:rsid w:val="1A2F0824"/>
    <w:rsid w:val="1AB83CD2"/>
    <w:rsid w:val="1B1F6FED"/>
    <w:rsid w:val="1BBC6B41"/>
    <w:rsid w:val="1C231376"/>
    <w:rsid w:val="1CC62989"/>
    <w:rsid w:val="1E2E03CC"/>
    <w:rsid w:val="1E4232D7"/>
    <w:rsid w:val="1EED5D81"/>
    <w:rsid w:val="1EFF1E58"/>
    <w:rsid w:val="1FE922A4"/>
    <w:rsid w:val="20500CC0"/>
    <w:rsid w:val="209625F7"/>
    <w:rsid w:val="20C44D83"/>
    <w:rsid w:val="20EF4019"/>
    <w:rsid w:val="20F45AEB"/>
    <w:rsid w:val="210F26EB"/>
    <w:rsid w:val="21591716"/>
    <w:rsid w:val="21A42ACA"/>
    <w:rsid w:val="21B5328B"/>
    <w:rsid w:val="22CB2BB4"/>
    <w:rsid w:val="22CD301A"/>
    <w:rsid w:val="23235E47"/>
    <w:rsid w:val="2331123D"/>
    <w:rsid w:val="2382005C"/>
    <w:rsid w:val="2415794E"/>
    <w:rsid w:val="24C31C90"/>
    <w:rsid w:val="24E6614A"/>
    <w:rsid w:val="25585DD9"/>
    <w:rsid w:val="25B5275A"/>
    <w:rsid w:val="26561B2E"/>
    <w:rsid w:val="26E8095B"/>
    <w:rsid w:val="274B1B49"/>
    <w:rsid w:val="277E408C"/>
    <w:rsid w:val="279B44BA"/>
    <w:rsid w:val="27A9339A"/>
    <w:rsid w:val="287673CA"/>
    <w:rsid w:val="28952AB4"/>
    <w:rsid w:val="28AB5159"/>
    <w:rsid w:val="290F3EA1"/>
    <w:rsid w:val="293C43BF"/>
    <w:rsid w:val="2A084CF9"/>
    <w:rsid w:val="2A756384"/>
    <w:rsid w:val="2A994C23"/>
    <w:rsid w:val="2AE94B42"/>
    <w:rsid w:val="2AFD60C7"/>
    <w:rsid w:val="2B341A13"/>
    <w:rsid w:val="2B9E465E"/>
    <w:rsid w:val="2BA84D78"/>
    <w:rsid w:val="2BCB7227"/>
    <w:rsid w:val="2C166115"/>
    <w:rsid w:val="2CDF226B"/>
    <w:rsid w:val="2D1830C3"/>
    <w:rsid w:val="2D837430"/>
    <w:rsid w:val="2EA9734B"/>
    <w:rsid w:val="2F047C76"/>
    <w:rsid w:val="2F3700C7"/>
    <w:rsid w:val="2F5917C4"/>
    <w:rsid w:val="2FE15786"/>
    <w:rsid w:val="30340120"/>
    <w:rsid w:val="305422D9"/>
    <w:rsid w:val="30626EAD"/>
    <w:rsid w:val="3075073E"/>
    <w:rsid w:val="30DE6212"/>
    <w:rsid w:val="311939E3"/>
    <w:rsid w:val="316E3A6D"/>
    <w:rsid w:val="318A71DB"/>
    <w:rsid w:val="31E739C8"/>
    <w:rsid w:val="32025C54"/>
    <w:rsid w:val="327A7401"/>
    <w:rsid w:val="32C7112A"/>
    <w:rsid w:val="32FC52C1"/>
    <w:rsid w:val="33CF7CC3"/>
    <w:rsid w:val="33D93518"/>
    <w:rsid w:val="342B3C62"/>
    <w:rsid w:val="34912668"/>
    <w:rsid w:val="35044724"/>
    <w:rsid w:val="35B0441C"/>
    <w:rsid w:val="35E76BB5"/>
    <w:rsid w:val="37195E03"/>
    <w:rsid w:val="37B67FF4"/>
    <w:rsid w:val="38257A11"/>
    <w:rsid w:val="38B96FA7"/>
    <w:rsid w:val="38D467B7"/>
    <w:rsid w:val="38F756E6"/>
    <w:rsid w:val="390B08D7"/>
    <w:rsid w:val="39B964DC"/>
    <w:rsid w:val="3A460358"/>
    <w:rsid w:val="3A782729"/>
    <w:rsid w:val="3AD219BE"/>
    <w:rsid w:val="3B252BFF"/>
    <w:rsid w:val="3BA2651A"/>
    <w:rsid w:val="3CA21F51"/>
    <w:rsid w:val="3D1C41AB"/>
    <w:rsid w:val="3D611DBC"/>
    <w:rsid w:val="3D874D96"/>
    <w:rsid w:val="3DAD1857"/>
    <w:rsid w:val="3DDE6AA9"/>
    <w:rsid w:val="3E264665"/>
    <w:rsid w:val="3EC15BA7"/>
    <w:rsid w:val="3F8D5A83"/>
    <w:rsid w:val="3FA97F42"/>
    <w:rsid w:val="40673CD9"/>
    <w:rsid w:val="40821189"/>
    <w:rsid w:val="41140751"/>
    <w:rsid w:val="41483F03"/>
    <w:rsid w:val="416E070E"/>
    <w:rsid w:val="41990E7C"/>
    <w:rsid w:val="42067B88"/>
    <w:rsid w:val="422C5151"/>
    <w:rsid w:val="426D1122"/>
    <w:rsid w:val="42DA0865"/>
    <w:rsid w:val="43D10A4B"/>
    <w:rsid w:val="43D95840"/>
    <w:rsid w:val="43E25405"/>
    <w:rsid w:val="43ED3A2B"/>
    <w:rsid w:val="44812A4F"/>
    <w:rsid w:val="449B716D"/>
    <w:rsid w:val="44AA5411"/>
    <w:rsid w:val="44B24415"/>
    <w:rsid w:val="44C24481"/>
    <w:rsid w:val="458D24BF"/>
    <w:rsid w:val="45B85E9B"/>
    <w:rsid w:val="465B78CE"/>
    <w:rsid w:val="46871A5D"/>
    <w:rsid w:val="47531E33"/>
    <w:rsid w:val="47BF2996"/>
    <w:rsid w:val="47D72FE1"/>
    <w:rsid w:val="47E943BA"/>
    <w:rsid w:val="48171CBB"/>
    <w:rsid w:val="48C74ABC"/>
    <w:rsid w:val="48E84AC1"/>
    <w:rsid w:val="490E7887"/>
    <w:rsid w:val="49E11DFA"/>
    <w:rsid w:val="4A4F2CE4"/>
    <w:rsid w:val="4A740F9C"/>
    <w:rsid w:val="4A8C4A56"/>
    <w:rsid w:val="4A8D69D8"/>
    <w:rsid w:val="4ADA5E0F"/>
    <w:rsid w:val="4B101C9D"/>
    <w:rsid w:val="4B384FBD"/>
    <w:rsid w:val="4BB33322"/>
    <w:rsid w:val="4C2D76A2"/>
    <w:rsid w:val="4C4C7EF8"/>
    <w:rsid w:val="4C673254"/>
    <w:rsid w:val="4D094234"/>
    <w:rsid w:val="4D1F07B9"/>
    <w:rsid w:val="4D2F2B01"/>
    <w:rsid w:val="4D8E5C93"/>
    <w:rsid w:val="4DA96609"/>
    <w:rsid w:val="4E450BCA"/>
    <w:rsid w:val="4E9F0500"/>
    <w:rsid w:val="4E9F4942"/>
    <w:rsid w:val="4EA55B69"/>
    <w:rsid w:val="4EC5494F"/>
    <w:rsid w:val="4EC82163"/>
    <w:rsid w:val="509437D0"/>
    <w:rsid w:val="5097234E"/>
    <w:rsid w:val="50FE61BF"/>
    <w:rsid w:val="513F27D5"/>
    <w:rsid w:val="51C24C2E"/>
    <w:rsid w:val="520F7223"/>
    <w:rsid w:val="52191BAD"/>
    <w:rsid w:val="52A979C4"/>
    <w:rsid w:val="52B825D2"/>
    <w:rsid w:val="52CA6FF0"/>
    <w:rsid w:val="532C4D4B"/>
    <w:rsid w:val="53A52242"/>
    <w:rsid w:val="53C41581"/>
    <w:rsid w:val="53F927B8"/>
    <w:rsid w:val="54201CAD"/>
    <w:rsid w:val="549E5A25"/>
    <w:rsid w:val="54DE2966"/>
    <w:rsid w:val="55EE7675"/>
    <w:rsid w:val="55FB7C4B"/>
    <w:rsid w:val="56C30505"/>
    <w:rsid w:val="572363BF"/>
    <w:rsid w:val="573F032C"/>
    <w:rsid w:val="57485E3C"/>
    <w:rsid w:val="57710B48"/>
    <w:rsid w:val="57B248DC"/>
    <w:rsid w:val="57C461F9"/>
    <w:rsid w:val="57CA3B71"/>
    <w:rsid w:val="580047A2"/>
    <w:rsid w:val="58B53017"/>
    <w:rsid w:val="58FE4268"/>
    <w:rsid w:val="5A1878CC"/>
    <w:rsid w:val="5AC22951"/>
    <w:rsid w:val="5B061FB2"/>
    <w:rsid w:val="5B4B3BEC"/>
    <w:rsid w:val="5B591332"/>
    <w:rsid w:val="5BF82970"/>
    <w:rsid w:val="5C2D23BE"/>
    <w:rsid w:val="5C351810"/>
    <w:rsid w:val="5C3C13FA"/>
    <w:rsid w:val="5C586975"/>
    <w:rsid w:val="5CDF0491"/>
    <w:rsid w:val="5D4162EC"/>
    <w:rsid w:val="5D7A7E8C"/>
    <w:rsid w:val="5D847EFA"/>
    <w:rsid w:val="5E0C7B37"/>
    <w:rsid w:val="5E7A0A33"/>
    <w:rsid w:val="5E9D1AE9"/>
    <w:rsid w:val="5F867929"/>
    <w:rsid w:val="6102432D"/>
    <w:rsid w:val="610E47CB"/>
    <w:rsid w:val="612F0EF6"/>
    <w:rsid w:val="61630A9E"/>
    <w:rsid w:val="621156A1"/>
    <w:rsid w:val="62187CC9"/>
    <w:rsid w:val="62A10BD6"/>
    <w:rsid w:val="633065C2"/>
    <w:rsid w:val="636E73BD"/>
    <w:rsid w:val="638514D1"/>
    <w:rsid w:val="638B4E72"/>
    <w:rsid w:val="63B235D6"/>
    <w:rsid w:val="63C922A9"/>
    <w:rsid w:val="643C5954"/>
    <w:rsid w:val="644E5BA2"/>
    <w:rsid w:val="64583888"/>
    <w:rsid w:val="65316D1C"/>
    <w:rsid w:val="65BC3419"/>
    <w:rsid w:val="65E340BC"/>
    <w:rsid w:val="65E911A2"/>
    <w:rsid w:val="65FB74F4"/>
    <w:rsid w:val="662A555A"/>
    <w:rsid w:val="66366A13"/>
    <w:rsid w:val="666C5AD9"/>
    <w:rsid w:val="66DC7762"/>
    <w:rsid w:val="66F65CF8"/>
    <w:rsid w:val="66FF64AD"/>
    <w:rsid w:val="67A972F6"/>
    <w:rsid w:val="67B0280E"/>
    <w:rsid w:val="69067583"/>
    <w:rsid w:val="691B71A5"/>
    <w:rsid w:val="69230D9F"/>
    <w:rsid w:val="69F95830"/>
    <w:rsid w:val="6A9749F5"/>
    <w:rsid w:val="6BAF16CB"/>
    <w:rsid w:val="6BBE443B"/>
    <w:rsid w:val="6C1A3522"/>
    <w:rsid w:val="6D83589A"/>
    <w:rsid w:val="6E737695"/>
    <w:rsid w:val="6F485814"/>
    <w:rsid w:val="6F914CFA"/>
    <w:rsid w:val="70546E3F"/>
    <w:rsid w:val="71AC22D8"/>
    <w:rsid w:val="71E167C4"/>
    <w:rsid w:val="71E5142F"/>
    <w:rsid w:val="71EA3F7C"/>
    <w:rsid w:val="7218624A"/>
    <w:rsid w:val="72AC411F"/>
    <w:rsid w:val="72E57CA8"/>
    <w:rsid w:val="730B5ED5"/>
    <w:rsid w:val="733850C1"/>
    <w:rsid w:val="756A202C"/>
    <w:rsid w:val="75B539FF"/>
    <w:rsid w:val="75D95899"/>
    <w:rsid w:val="75DE096B"/>
    <w:rsid w:val="75E05FEE"/>
    <w:rsid w:val="764333C0"/>
    <w:rsid w:val="766B63F6"/>
    <w:rsid w:val="76A13816"/>
    <w:rsid w:val="76F91BDD"/>
    <w:rsid w:val="771227E5"/>
    <w:rsid w:val="77590903"/>
    <w:rsid w:val="77BD7894"/>
    <w:rsid w:val="77DB6824"/>
    <w:rsid w:val="782501E6"/>
    <w:rsid w:val="78534887"/>
    <w:rsid w:val="78EC7471"/>
    <w:rsid w:val="78F304DC"/>
    <w:rsid w:val="79287FFA"/>
    <w:rsid w:val="793E7FC1"/>
    <w:rsid w:val="79426449"/>
    <w:rsid w:val="79A91697"/>
    <w:rsid w:val="79BB7B60"/>
    <w:rsid w:val="7A17359C"/>
    <w:rsid w:val="7AB072B9"/>
    <w:rsid w:val="7B0448B9"/>
    <w:rsid w:val="7B475F88"/>
    <w:rsid w:val="7B593A2D"/>
    <w:rsid w:val="7C7B03AE"/>
    <w:rsid w:val="7CA934CD"/>
    <w:rsid w:val="7CD33D87"/>
    <w:rsid w:val="7D104CAF"/>
    <w:rsid w:val="7DB67336"/>
    <w:rsid w:val="7DCC5312"/>
    <w:rsid w:val="7E302655"/>
    <w:rsid w:val="7E796E46"/>
    <w:rsid w:val="7EC41B0D"/>
    <w:rsid w:val="7F282D08"/>
    <w:rsid w:val="7F566B24"/>
    <w:rsid w:val="7F584D6D"/>
    <w:rsid w:val="7F851F6C"/>
    <w:rsid w:val="7FD112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7">
    <w:name w:val="Default Paragraph Font"/>
    <w:semiHidden/>
    <w:uiPriority w:val="0"/>
  </w:style>
  <w:style w:type="table" w:default="1" w:styleId="9">
    <w:name w:val="Normal Table"/>
    <w:semiHidden/>
    <w:uiPriority w:val="0"/>
    <w:tblPr>
      <w:tblStyle w:val="9"/>
      <w:tblLayout w:type="fixed"/>
      <w:tblCellMar>
        <w:top w:w="0" w:type="dxa"/>
        <w:left w:w="108" w:type="dxa"/>
        <w:bottom w:w="0" w:type="dxa"/>
        <w:right w:w="108" w:type="dxa"/>
      </w:tblCellMar>
    </w:tblPr>
  </w:style>
  <w:style w:type="paragraph" w:styleId="2">
    <w:name w:val="Body Text"/>
    <w:basedOn w:val="1"/>
    <w:link w:val="14"/>
    <w:uiPriority w:val="0"/>
    <w:pPr>
      <w:spacing w:line="440" w:lineRule="exact"/>
      <w:jc w:val="center"/>
    </w:pPr>
    <w:rPr>
      <w:rFonts w:ascii="Arial Black" w:hAnsi="Arial Black"/>
      <w:b/>
      <w:bCs/>
      <w:sz w:val="28"/>
    </w:rPr>
  </w:style>
  <w:style w:type="paragraph" w:styleId="3">
    <w:name w:val="Balloon Text"/>
    <w:basedOn w:val="1"/>
    <w:link w:val="15"/>
    <w:uiPriority w:val="0"/>
    <w:rPr>
      <w:sz w:val="18"/>
      <w:szCs w:val="18"/>
    </w:rPr>
  </w:style>
  <w:style w:type="paragraph" w:styleId="4">
    <w:name w:val="footer"/>
    <w:basedOn w:val="1"/>
    <w:link w:val="13"/>
    <w:uiPriority w:val="99"/>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Title"/>
    <w:basedOn w:val="1"/>
    <w:next w:val="1"/>
    <w:link w:val="12"/>
    <w:qFormat/>
    <w:uiPriority w:val="0"/>
    <w:pPr>
      <w:spacing w:before="240" w:after="60"/>
      <w:jc w:val="center"/>
      <w:outlineLvl w:val="0"/>
    </w:pPr>
    <w:rPr>
      <w:rFonts w:ascii="Cambria" w:hAnsi="Cambria"/>
      <w:b/>
      <w:bCs/>
      <w:sz w:val="32"/>
      <w:szCs w:val="32"/>
    </w:rPr>
  </w:style>
  <w:style w:type="character" w:styleId="8">
    <w:name w:val="Hyperlink"/>
    <w:uiPriority w:val="0"/>
    <w:rPr>
      <w:color w:val="0000FF"/>
      <w:u w:val="single"/>
    </w:rPr>
  </w:style>
  <w:style w:type="table" w:styleId="10">
    <w:name w:val="Table Grid"/>
    <w:basedOn w:val="9"/>
    <w:uiPriority w:val="0"/>
    <w:tblPr>
      <w:tblStyle w:val="9"/>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00正文"/>
    <w:basedOn w:val="1"/>
    <w:uiPriority w:val="99"/>
    <w:pPr>
      <w:spacing w:line="360" w:lineRule="auto"/>
      <w:ind w:firstLine="480" w:firstLineChars="200"/>
      <w:textAlignment w:val="baseline"/>
    </w:pPr>
    <w:rPr>
      <w:rFonts w:ascii="仿宋_GB2312" w:hAnsi="宋体" w:eastAsia="仿宋_GB2312"/>
      <w:color w:val="000000"/>
      <w:sz w:val="24"/>
    </w:rPr>
  </w:style>
  <w:style w:type="character" w:customStyle="1" w:styleId="12">
    <w:name w:val="标题 Char"/>
    <w:link w:val="6"/>
    <w:uiPriority w:val="0"/>
    <w:rPr>
      <w:rFonts w:ascii="Cambria" w:hAnsi="Cambria"/>
      <w:b/>
      <w:bCs/>
      <w:kern w:val="2"/>
      <w:sz w:val="32"/>
      <w:szCs w:val="32"/>
    </w:rPr>
  </w:style>
  <w:style w:type="character" w:customStyle="1" w:styleId="13">
    <w:name w:val="页脚 Char"/>
    <w:link w:val="4"/>
    <w:uiPriority w:val="99"/>
    <w:rPr>
      <w:kern w:val="2"/>
      <w:sz w:val="18"/>
      <w:szCs w:val="18"/>
    </w:rPr>
  </w:style>
  <w:style w:type="character" w:customStyle="1" w:styleId="14">
    <w:name w:val="正文文本 Char"/>
    <w:link w:val="2"/>
    <w:uiPriority w:val="0"/>
    <w:rPr>
      <w:rFonts w:ascii="Arial Black" w:hAnsi="Arial Black"/>
      <w:b/>
      <w:bCs/>
      <w:kern w:val="2"/>
      <w:sz w:val="28"/>
      <w:szCs w:val="24"/>
    </w:rPr>
  </w:style>
  <w:style w:type="character" w:customStyle="1" w:styleId="15">
    <w:name w:val="批注框文本 Char"/>
    <w:link w:val="3"/>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4994</Words>
  <Characters>5238</Characters>
  <Lines>19</Lines>
  <Paragraphs>5</Paragraphs>
  <ScaleCrop>false</ScaleCrop>
  <LinksUpToDate>false</LinksUpToDate>
  <CharactersWithSpaces>5263</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2017-10-21T03:09:00Z</dcterms:created>
  <dc:creator>袁宏伟</dc:creator>
  <cp:lastModifiedBy>Administrator</cp:lastModifiedBy>
  <cp:lastPrinted>2018-03-22T08:11:40Z</cp:lastPrinted>
  <dcterms:modified xsi:type="dcterms:W3CDTF">2018-04-04T01:52:01Z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